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both"/>
        <w:rPr>
          <w:rFonts w:hint="default" w:ascii="Times New Roman" w:hAnsi="Times New Roman" w:eastAsia="仿宋_GB2312" w:cs="Times New Roman"/>
          <w:kern w:val="0"/>
          <w:sz w:val="32"/>
          <w:szCs w:val="32"/>
          <w:u w:val="none"/>
          <w:shd w:val="clear" w:color="auto" w:fill="auto"/>
          <w:lang w:val="en-US" w:eastAsia="zh-CN" w:bidi="ar-SA"/>
        </w:rPr>
      </w:pPr>
      <w:r>
        <w:rPr>
          <w:rFonts w:hint="default" w:ascii="Times New Roman" w:hAnsi="Times New Roman" w:eastAsia="黑体" w:cs="Times New Roman"/>
          <w:kern w:val="0"/>
          <w:sz w:val="32"/>
          <w:szCs w:val="32"/>
          <w:u w:val="none"/>
          <w:shd w:val="clear" w:color="auto" w:fill="auto"/>
          <w:lang w:val="en-US" w:eastAsia="zh-CN" w:bidi="ar-SA"/>
        </w:rPr>
        <w:t>附件</w:t>
      </w:r>
      <w:r>
        <w:rPr>
          <w:rFonts w:hint="default" w:ascii="Times New Roman" w:hAnsi="Times New Roman" w:eastAsia="仿宋_GB2312" w:cs="Times New Roman"/>
          <w:kern w:val="0"/>
          <w:sz w:val="32"/>
          <w:szCs w:val="32"/>
          <w:u w:val="none"/>
          <w:shd w:val="clear" w:color="auto" w:fill="auto"/>
          <w:lang w:val="en-US" w:eastAsia="zh-CN" w:bidi="ar-SA"/>
        </w:rPr>
        <w:t>1</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left="0" w:leftChars="0" w:right="1180" w:firstLine="0" w:firstLineChars="0"/>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法定安评报告检查计划</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p>
    <w:tbl>
      <w:tblPr>
        <w:tblStyle w:val="10"/>
        <w:tblpPr w:leftFromText="180" w:rightFromText="180" w:vertAnchor="text" w:horzAnchor="page" w:tblpX="1086" w:tblpY="212"/>
        <w:tblOverlap w:val="never"/>
        <w:tblW w:w="1484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15"/>
        <w:gridCol w:w="830"/>
        <w:gridCol w:w="1095"/>
        <w:gridCol w:w="1695"/>
        <w:gridCol w:w="1935"/>
        <w:gridCol w:w="2685"/>
        <w:gridCol w:w="1975"/>
        <w:gridCol w:w="1965"/>
        <w:gridCol w:w="16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序号</w:t>
            </w:r>
          </w:p>
        </w:tc>
        <w:tc>
          <w:tcPr>
            <w:tcW w:w="8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市</w:t>
            </w: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区县</w:t>
            </w:r>
          </w:p>
        </w:tc>
        <w:tc>
          <w:tcPr>
            <w:tcW w:w="16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项目名称</w:t>
            </w:r>
          </w:p>
        </w:tc>
        <w:tc>
          <w:tcPr>
            <w:tcW w:w="193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行业类别</w:t>
            </w:r>
          </w:p>
        </w:tc>
        <w:tc>
          <w:tcPr>
            <w:tcW w:w="26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生产经营单位</w:t>
            </w:r>
          </w:p>
        </w:tc>
        <w:tc>
          <w:tcPr>
            <w:tcW w:w="19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安评机构</w:t>
            </w:r>
          </w:p>
        </w:tc>
        <w:tc>
          <w:tcPr>
            <w:tcW w:w="19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项目负责人</w:t>
            </w: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检查时间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9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3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26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9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3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26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0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0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9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3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26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9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16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p>
      <w:pPr>
        <w:rPr>
          <w:rFonts w:hint="default" w:ascii="Times New Roman" w:hAnsi="Times New Roman" w:cs="Times New Roma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rPr>
        <w:t>安全评价报告虚假情形</w:t>
      </w:r>
      <w:r>
        <w:rPr>
          <w:rFonts w:hint="default" w:ascii="Times New Roman" w:hAnsi="Times New Roman" w:eastAsia="方正小标宋简体" w:cs="Times New Roman"/>
          <w:b w:val="0"/>
          <w:bCs w:val="0"/>
          <w:color w:val="auto"/>
          <w:sz w:val="44"/>
          <w:szCs w:val="44"/>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安全评价报告存在以下情形之一的，认定为安全评价报告虚假：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（一）故意伪造的；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（二）在周边环境、主要建（构）筑物、工艺、装置、设备设施等重要内容上弄虚作假，导致与评价期间实际情况不符，影响评价结论的；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（三）隐瞒生产经营单位重大事故隐患及整改落实情况、主要灾害等级等情况，影响评价结论的；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（四）伪造、篡改生产经营单位相关信息、数据、技术报告或者结论等内容，影响评价结论的；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（五）故意采用存疑的第三方证明材料、监测检验报告，影响评价结论的；</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（六）有其他弄虚作假行为，影响评价结论的情形。</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生产经营单位提供虚假材料、影响评价结论，承担安全评价职责的中介组织的人员对评价结论与实际情况不符无主观故意的，不属于刑法第二百二十九条第一款规定的“故意提供虚假证明文件”。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有本条第二款情形，承担安全评价职责的中介组织的人员严重不负责任，导致出具的证明文件有重大失实，造成严重后果的，依照刑法第二百二十九条第三款的规定追究刑事责任。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000000"/>
          <w:kern w:val="0"/>
          <w:sz w:val="30"/>
          <w:szCs w:val="30"/>
          <w:lang w:eastAsia="zh-CN"/>
        </w:rPr>
        <w:t>备注：上述内容</w:t>
      </w:r>
      <w:r>
        <w:rPr>
          <w:rFonts w:hint="default" w:ascii="Times New Roman" w:hAnsi="Times New Roman" w:eastAsia="黑体" w:cs="Times New Roman"/>
          <w:color w:val="000000"/>
          <w:kern w:val="0"/>
          <w:sz w:val="30"/>
          <w:szCs w:val="30"/>
        </w:rPr>
        <w:t>依据《关于办理危害生产安全刑事案件适用法律若干问题的解释（二）》第六条</w:t>
      </w:r>
      <w:r>
        <w:rPr>
          <w:rFonts w:hint="default" w:ascii="Times New Roman" w:hAnsi="Times New Roman" w:eastAsia="黑体" w:cs="Times New Roman"/>
          <w:color w:val="000000"/>
          <w:kern w:val="0"/>
          <w:sz w:val="30"/>
          <w:szCs w:val="30"/>
          <w:lang w:eastAsia="zh-CN"/>
        </w:rPr>
        <w:t>确定。</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bCs/>
          <w:color w:val="auto"/>
          <w:sz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auto"/>
          <w:sz w:val="44"/>
          <w:lang w:eastAsia="zh-CN"/>
        </w:rPr>
      </w:pPr>
      <w:r>
        <w:rPr>
          <w:rFonts w:hint="default" w:ascii="Times New Roman" w:hAnsi="Times New Roman" w:eastAsia="方正小标宋简体" w:cs="Times New Roman"/>
          <w:b w:val="0"/>
          <w:bCs w:val="0"/>
          <w:color w:val="auto"/>
          <w:sz w:val="44"/>
        </w:rPr>
        <w:t>安全评价报告失实情形</w:t>
      </w:r>
      <w:r>
        <w:rPr>
          <w:rFonts w:hint="default" w:ascii="Times New Roman" w:hAnsi="Times New Roman" w:eastAsia="方正小标宋简体" w:cs="Times New Roman"/>
          <w:b w:val="0"/>
          <w:bCs w:val="0"/>
          <w:color w:val="auto"/>
          <w:sz w:val="44"/>
          <w:lang w:eastAsia="zh-CN"/>
        </w:rPr>
        <w:t>认定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安全评价报告存在以下情形之一的，认定为安全评价报告失实：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一、安全现状评价或验收评价报告中，企业布局、工艺参数、周边环境与评价期间实际情况不符，影响评价结论的；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二、重要区域、关键设备设施、主要物料和建（构）筑物、主要安全设施、重要的公辅设施、改（扩）建情况等遗漏或描写错误，影响评价结论的；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三、法律、法规、标准主要条款漏项、错误或使用已废止的法律、法规、标准，影响评价结论的；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四、国家明令限制类、淘汰类工艺或设备未辨识或辨识有误，导致评价结论失实的；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五、未进行危险化学品重大危险源辨识及分级或出现严重偏差，影响</w:t>
      </w:r>
      <w:r>
        <w:rPr>
          <w:rFonts w:hint="default"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结论的；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六、存在不符合国家和行业强制性规定的安全生产条件项，评价报告漏项未做评价的；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七、存在行业重大生产安全事故隐患判定标准中列举的重大事故隐患，评价报告漏项未做评价的；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八、对策措施建议与被评价项目存在问题不符的；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九、金属非金属矿山相关文件和规程要求的主要定量计算分析缺失的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sectPr>
          <w:footerReference r:id="rId4" w:type="default"/>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专项检查情况汇总表</w:t>
      </w:r>
    </w:p>
    <w:p>
      <w:pPr>
        <w:jc w:val="both"/>
        <w:rPr>
          <w:rFonts w:hint="default" w:ascii="Times New Roman" w:hAnsi="Times New Roman" w:eastAsia="仿宋_GB2312" w:cs="Times New Roman"/>
          <w:sz w:val="28"/>
          <w:szCs w:val="28"/>
          <w:lang w:val="en-US" w:eastAsia="zh-CN"/>
        </w:rPr>
      </w:pPr>
    </w:p>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填报单位：                                                         截止日期：    年   月   日</w:t>
      </w:r>
    </w:p>
    <w:tbl>
      <w:tblPr>
        <w:tblStyle w:val="11"/>
        <w:tblW w:w="134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516"/>
        <w:gridCol w:w="1110"/>
        <w:gridCol w:w="1155"/>
        <w:gridCol w:w="1108"/>
        <w:gridCol w:w="1223"/>
        <w:gridCol w:w="1037"/>
        <w:gridCol w:w="1082"/>
        <w:gridCol w:w="1550"/>
        <w:gridCol w:w="1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2" w:type="dxa"/>
            <w:tcBorders>
              <w:tl2br w:val="nil"/>
              <w:tr2bl w:val="nil"/>
            </w:tcBorders>
            <w:noWrap w:val="0"/>
            <w:vAlign w:val="center"/>
          </w:tcPr>
          <w:p>
            <w:pPr>
              <w:pStyle w:val="17"/>
              <w:keepNext w:val="0"/>
              <w:keepLines w:val="0"/>
              <w:widowControl w:val="0"/>
              <w:shd w:val="clear" w:color="auto" w:fill="auto"/>
              <w:bidi w:val="0"/>
              <w:spacing w:before="0" w:after="0" w:line="367" w:lineRule="exact"/>
              <w:ind w:left="0" w:right="0" w:firstLine="0"/>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pacing w:val="0"/>
                <w:w w:val="100"/>
                <w:position w:val="0"/>
                <w:sz w:val="24"/>
                <w:szCs w:val="24"/>
              </w:rPr>
              <w:t>检查</w:t>
            </w:r>
            <w:r>
              <w:rPr>
                <w:rFonts w:hint="default" w:ascii="Times New Roman" w:hAnsi="Times New Roman" w:eastAsia="黑体" w:cs="Times New Roman"/>
                <w:color w:val="000000"/>
                <w:spacing w:val="0"/>
                <w:w w:val="100"/>
                <w:position w:val="0"/>
                <w:sz w:val="24"/>
                <w:szCs w:val="24"/>
                <w:lang w:eastAsia="zh-CN"/>
              </w:rPr>
              <w:t>安评报告</w:t>
            </w:r>
            <w:r>
              <w:rPr>
                <w:rFonts w:hint="default" w:ascii="Times New Roman" w:hAnsi="Times New Roman" w:eastAsia="黑体" w:cs="Times New Roman"/>
                <w:color w:val="000000"/>
                <w:spacing w:val="0"/>
                <w:w w:val="100"/>
                <w:position w:val="0"/>
                <w:sz w:val="24"/>
                <w:szCs w:val="24"/>
              </w:rPr>
              <w:t>数量</w:t>
            </w:r>
          </w:p>
          <w:p>
            <w:pPr>
              <w:pStyle w:val="17"/>
              <w:keepNext w:val="0"/>
              <w:keepLines w:val="0"/>
              <w:widowControl w:val="0"/>
              <w:shd w:val="clear" w:color="auto" w:fill="auto"/>
              <w:bidi w:val="0"/>
              <w:spacing w:before="0" w:after="0" w:line="367"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w:t>
            </w:r>
            <w:r>
              <w:rPr>
                <w:rFonts w:hint="default" w:ascii="Times New Roman" w:hAnsi="Times New Roman" w:eastAsia="黑体" w:cs="Times New Roman"/>
                <w:color w:val="000000"/>
                <w:spacing w:val="0"/>
                <w:w w:val="100"/>
                <w:position w:val="0"/>
                <w:sz w:val="24"/>
                <w:szCs w:val="24"/>
                <w:lang w:eastAsia="zh-CN"/>
              </w:rPr>
              <w:t>个</w:t>
            </w:r>
            <w:r>
              <w:rPr>
                <w:rFonts w:hint="default" w:ascii="Times New Roman" w:hAnsi="Times New Roman" w:eastAsia="黑体" w:cs="Times New Roman"/>
                <w:color w:val="000000"/>
                <w:spacing w:val="0"/>
                <w:w w:val="100"/>
                <w:position w:val="0"/>
                <w:sz w:val="24"/>
                <w:szCs w:val="24"/>
              </w:rPr>
              <w:t>）</w:t>
            </w:r>
          </w:p>
        </w:tc>
        <w:tc>
          <w:tcPr>
            <w:tcW w:w="1222" w:type="dxa"/>
            <w:tcBorders>
              <w:tl2br w:val="nil"/>
              <w:tr2bl w:val="nil"/>
            </w:tcBorders>
            <w:noWrap w:val="0"/>
            <w:vAlign w:val="center"/>
          </w:tcPr>
          <w:p>
            <w:pPr>
              <w:pStyle w:val="17"/>
              <w:keepNext w:val="0"/>
              <w:keepLines w:val="0"/>
              <w:widowControl w:val="0"/>
              <w:shd w:val="clear" w:color="auto" w:fill="auto"/>
              <w:bidi w:val="0"/>
              <w:spacing w:before="0" w:after="0" w:line="362"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检查发 现一般 违法行 为数量 （项）</w:t>
            </w:r>
          </w:p>
        </w:tc>
        <w:tc>
          <w:tcPr>
            <w:tcW w:w="1516" w:type="dxa"/>
            <w:tcBorders>
              <w:tl2br w:val="nil"/>
              <w:tr2bl w:val="nil"/>
            </w:tcBorders>
            <w:noWrap w:val="0"/>
            <w:vAlign w:val="bottom"/>
          </w:tcPr>
          <w:p>
            <w:pPr>
              <w:pStyle w:val="17"/>
              <w:keepNext w:val="0"/>
              <w:keepLines w:val="0"/>
              <w:widowControl w:val="0"/>
              <w:shd w:val="clear" w:color="auto" w:fill="auto"/>
              <w:bidi w:val="0"/>
              <w:spacing w:before="0" w:after="0" w:line="362" w:lineRule="exact"/>
              <w:ind w:left="0" w:leftChars="0" w:right="0" w:rightChars="0" w:firstLine="0" w:firstLineChars="0"/>
              <w:jc w:val="left"/>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检查发 现出具 虚假报 告等重 大违法 行为数 量（项）</w:t>
            </w:r>
          </w:p>
        </w:tc>
        <w:tc>
          <w:tcPr>
            <w:tcW w:w="1110" w:type="dxa"/>
            <w:tcBorders>
              <w:tl2br w:val="nil"/>
              <w:tr2bl w:val="nil"/>
            </w:tcBorders>
            <w:noWrap w:val="0"/>
            <w:vAlign w:val="center"/>
          </w:tcPr>
          <w:p>
            <w:pPr>
              <w:pStyle w:val="17"/>
              <w:keepNext w:val="0"/>
              <w:keepLines w:val="0"/>
              <w:widowControl w:val="0"/>
              <w:shd w:val="clear" w:color="auto" w:fill="auto"/>
              <w:bidi w:val="0"/>
              <w:spacing w:before="0" w:after="0" w:line="360" w:lineRule="exact"/>
              <w:ind w:left="0" w:right="0" w:firstLine="0"/>
              <w:jc w:val="center"/>
              <w:rPr>
                <w:rFonts w:hint="default" w:ascii="Times New Roman" w:hAnsi="Times New Roman" w:eastAsia="黑体" w:cs="Times New Roman"/>
                <w:color w:val="000000"/>
                <w:spacing w:val="0"/>
                <w:w w:val="100"/>
                <w:position w:val="0"/>
                <w:sz w:val="24"/>
                <w:szCs w:val="24"/>
              </w:rPr>
            </w:pPr>
            <w:r>
              <w:rPr>
                <w:rFonts w:hint="default" w:ascii="Times New Roman" w:hAnsi="Times New Roman" w:eastAsia="黑体" w:cs="Times New Roman"/>
                <w:color w:val="000000"/>
                <w:spacing w:val="0"/>
                <w:w w:val="100"/>
                <w:position w:val="0"/>
                <w:sz w:val="24"/>
                <w:szCs w:val="24"/>
              </w:rPr>
              <w:t>下达执</w:t>
            </w:r>
          </w:p>
          <w:p>
            <w:pPr>
              <w:pStyle w:val="17"/>
              <w:keepNext w:val="0"/>
              <w:keepLines w:val="0"/>
              <w:widowControl w:val="0"/>
              <w:shd w:val="clear" w:color="auto" w:fill="auto"/>
              <w:bidi w:val="0"/>
              <w:spacing w:before="0" w:after="0" w:line="360" w:lineRule="exact"/>
              <w:ind w:left="0" w:right="0" w:firstLine="0"/>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pacing w:val="0"/>
                <w:w w:val="100"/>
                <w:position w:val="0"/>
                <w:sz w:val="24"/>
                <w:szCs w:val="24"/>
              </w:rPr>
              <w:t>法文书</w:t>
            </w:r>
          </w:p>
          <w:p>
            <w:pPr>
              <w:pStyle w:val="17"/>
              <w:keepNext w:val="0"/>
              <w:keepLines w:val="0"/>
              <w:widowControl w:val="0"/>
              <w:shd w:val="clear" w:color="auto" w:fill="auto"/>
              <w:bidi w:val="0"/>
              <w:spacing w:before="0" w:after="0" w:line="360"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（份）</w:t>
            </w:r>
          </w:p>
        </w:tc>
        <w:tc>
          <w:tcPr>
            <w:tcW w:w="1155" w:type="dxa"/>
            <w:tcBorders>
              <w:tl2br w:val="nil"/>
              <w:tr2bl w:val="nil"/>
            </w:tcBorders>
            <w:noWrap w:val="0"/>
            <w:vAlign w:val="center"/>
          </w:tcPr>
          <w:p>
            <w:pPr>
              <w:pStyle w:val="17"/>
              <w:keepNext w:val="0"/>
              <w:keepLines w:val="0"/>
              <w:widowControl w:val="0"/>
              <w:shd w:val="clear" w:color="auto" w:fill="auto"/>
              <w:bidi w:val="0"/>
              <w:spacing w:before="0" w:after="0" w:line="360"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行政处罚（次）</w:t>
            </w:r>
          </w:p>
        </w:tc>
        <w:tc>
          <w:tcPr>
            <w:tcW w:w="1108" w:type="dxa"/>
            <w:tcBorders>
              <w:tl2br w:val="nil"/>
              <w:tr2bl w:val="nil"/>
            </w:tcBorders>
            <w:noWrap w:val="0"/>
            <w:vAlign w:val="center"/>
          </w:tcPr>
          <w:p>
            <w:pPr>
              <w:pStyle w:val="17"/>
              <w:keepNext w:val="0"/>
              <w:keepLines w:val="0"/>
              <w:widowControl w:val="0"/>
              <w:shd w:val="clear" w:color="auto" w:fill="auto"/>
              <w:bidi w:val="0"/>
              <w:spacing w:before="0" w:after="60" w:line="240" w:lineRule="auto"/>
              <w:ind w:left="0" w:right="0" w:firstLine="0"/>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pacing w:val="0"/>
                <w:w w:val="100"/>
                <w:position w:val="0"/>
                <w:sz w:val="24"/>
                <w:szCs w:val="24"/>
              </w:rPr>
              <w:t>罚款</w:t>
            </w:r>
          </w:p>
          <w:p>
            <w:pPr>
              <w:pStyle w:val="17"/>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i w:val="0"/>
                <w:iCs w:val="0"/>
                <w:color w:val="000000"/>
                <w:spacing w:val="0"/>
                <w:w w:val="100"/>
                <w:position w:val="0"/>
                <w:sz w:val="24"/>
                <w:szCs w:val="24"/>
              </w:rPr>
              <w:t>（万元）</w:t>
            </w:r>
          </w:p>
        </w:tc>
        <w:tc>
          <w:tcPr>
            <w:tcW w:w="1223" w:type="dxa"/>
            <w:tcBorders>
              <w:tl2br w:val="nil"/>
              <w:tr2bl w:val="nil"/>
            </w:tcBorders>
            <w:noWrap w:val="0"/>
            <w:vAlign w:val="center"/>
          </w:tcPr>
          <w:p>
            <w:pPr>
              <w:pStyle w:val="17"/>
              <w:keepNext w:val="0"/>
              <w:keepLines w:val="0"/>
              <w:widowControl w:val="0"/>
              <w:shd w:val="clear" w:color="auto" w:fill="auto"/>
              <w:bidi w:val="0"/>
              <w:spacing w:before="0" w:after="0" w:line="356"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责令停 业整顿 （家次）</w:t>
            </w:r>
          </w:p>
        </w:tc>
        <w:tc>
          <w:tcPr>
            <w:tcW w:w="1037" w:type="dxa"/>
            <w:tcBorders>
              <w:tl2br w:val="nil"/>
              <w:tr2bl w:val="nil"/>
            </w:tcBorders>
            <w:noWrap w:val="0"/>
            <w:vAlign w:val="center"/>
          </w:tcPr>
          <w:p>
            <w:pPr>
              <w:pStyle w:val="17"/>
              <w:keepNext w:val="0"/>
              <w:keepLines w:val="0"/>
              <w:widowControl w:val="0"/>
              <w:shd w:val="clear" w:color="auto" w:fill="auto"/>
              <w:bidi w:val="0"/>
              <w:spacing w:before="0" w:after="0" w:line="362" w:lineRule="exact"/>
              <w:ind w:left="0" w:leftChars="0" w:right="0" w:rightChars="0" w:firstLine="0" w:firstLineChars="0"/>
              <w:jc w:val="both"/>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吊销评 价机构 资质证 书（个）</w:t>
            </w:r>
          </w:p>
        </w:tc>
        <w:tc>
          <w:tcPr>
            <w:tcW w:w="1082" w:type="dxa"/>
            <w:tcBorders>
              <w:tl2br w:val="nil"/>
              <w:tr2bl w:val="nil"/>
            </w:tcBorders>
            <w:noWrap w:val="0"/>
            <w:vAlign w:val="center"/>
          </w:tcPr>
          <w:p>
            <w:pPr>
              <w:pStyle w:val="17"/>
              <w:keepNext w:val="0"/>
              <w:keepLines w:val="0"/>
              <w:widowControl w:val="0"/>
              <w:shd w:val="clear" w:color="auto" w:fill="auto"/>
              <w:bidi w:val="0"/>
              <w:spacing w:before="0" w:after="0" w:line="356" w:lineRule="exact"/>
              <w:ind w:left="0" w:leftChars="0" w:right="0" w:rightChars="0" w:firstLine="0" w:firstLineChars="0"/>
              <w:jc w:val="center"/>
              <w:rPr>
                <w:rFonts w:hint="default" w:ascii="Times New Roman" w:hAnsi="Times New Roman" w:eastAsia="黑体" w:cs="Times New Roman"/>
                <w:color w:val="000000"/>
                <w:spacing w:val="0"/>
                <w:w w:val="100"/>
                <w:position w:val="0"/>
                <w:sz w:val="24"/>
                <w:szCs w:val="24"/>
              </w:rPr>
            </w:pPr>
            <w:r>
              <w:rPr>
                <w:rFonts w:hint="default" w:ascii="Times New Roman" w:hAnsi="Times New Roman" w:eastAsia="黑体" w:cs="Times New Roman"/>
                <w:color w:val="000000"/>
                <w:spacing w:val="0"/>
                <w:w w:val="100"/>
                <w:position w:val="0"/>
                <w:sz w:val="24"/>
                <w:szCs w:val="24"/>
              </w:rPr>
              <w:t xml:space="preserve">纳入 </w:t>
            </w:r>
            <w:r>
              <w:rPr>
                <w:rFonts w:hint="default" w:ascii="Times New Roman" w:hAnsi="Times New Roman" w:eastAsia="黑体" w:cs="Times New Roman"/>
                <w:color w:val="000000"/>
                <w:spacing w:val="0"/>
                <w:w w:val="100"/>
                <w:position w:val="0"/>
                <w:sz w:val="24"/>
                <w:szCs w:val="24"/>
                <w:lang w:val="zh-CN" w:eastAsia="zh-CN"/>
              </w:rPr>
              <w:t>“黑名</w:t>
            </w:r>
          </w:p>
          <w:p>
            <w:pPr>
              <w:pStyle w:val="17"/>
              <w:keepNext w:val="0"/>
              <w:keepLines w:val="0"/>
              <w:widowControl w:val="0"/>
              <w:shd w:val="clear" w:color="auto" w:fill="auto"/>
              <w:bidi w:val="0"/>
              <w:spacing w:before="0" w:after="0" w:line="356"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lang w:eastAsia="zh-CN"/>
              </w:rPr>
              <w:t>单”（家</w:t>
            </w:r>
            <w:r>
              <w:rPr>
                <w:rFonts w:hint="default" w:ascii="Times New Roman" w:hAnsi="Times New Roman" w:eastAsia="黑体" w:cs="Times New Roman"/>
                <w:color w:val="000000"/>
                <w:spacing w:val="0"/>
                <w:w w:val="100"/>
                <w:position w:val="0"/>
                <w:sz w:val="24"/>
                <w:szCs w:val="24"/>
              </w:rPr>
              <w:t>）</w:t>
            </w:r>
          </w:p>
        </w:tc>
        <w:tc>
          <w:tcPr>
            <w:tcW w:w="1550" w:type="dxa"/>
            <w:tcBorders>
              <w:tl2br w:val="nil"/>
              <w:tr2bl w:val="nil"/>
            </w:tcBorders>
            <w:noWrap w:val="0"/>
            <w:vAlign w:val="center"/>
          </w:tcPr>
          <w:p>
            <w:pPr>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sz w:val="24"/>
                <w:szCs w:val="24"/>
                <w:lang w:eastAsia="zh-CN"/>
              </w:rPr>
              <w:t>对采信虚假报告的行政许可依法处理数量（家次）</w:t>
            </w:r>
          </w:p>
        </w:tc>
        <w:tc>
          <w:tcPr>
            <w:tcW w:w="1223" w:type="dxa"/>
            <w:tcBorders>
              <w:tl2br w:val="nil"/>
              <w:tr2bl w:val="nil"/>
            </w:tcBorders>
            <w:noWrap w:val="0"/>
            <w:vAlign w:val="center"/>
          </w:tcPr>
          <w:p>
            <w:pPr>
              <w:pStyle w:val="17"/>
              <w:keepNext w:val="0"/>
              <w:keepLines w:val="0"/>
              <w:widowControl w:val="0"/>
              <w:shd w:val="clear" w:color="auto" w:fill="auto"/>
              <w:bidi w:val="0"/>
              <w:spacing w:before="0" w:after="0" w:line="374" w:lineRule="exact"/>
              <w:ind w:left="0" w:right="0" w:firstLine="0"/>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pacing w:val="0"/>
                <w:w w:val="100"/>
                <w:position w:val="0"/>
                <w:sz w:val="24"/>
                <w:szCs w:val="24"/>
              </w:rPr>
              <w:t>媒体曝 光（家</w:t>
            </w:r>
          </w:p>
          <w:p>
            <w:pPr>
              <w:pStyle w:val="17"/>
              <w:keepNext w:val="0"/>
              <w:keepLines w:val="0"/>
              <w:widowControl w:val="0"/>
              <w:shd w:val="clear" w:color="auto" w:fill="auto"/>
              <w:bidi w:val="0"/>
              <w:spacing w:before="0" w:after="0" w:line="374" w:lineRule="exact"/>
              <w:ind w:left="0" w:leftChars="0" w:right="0" w:rightChars="0" w:firstLine="0" w:firstLineChars="0"/>
              <w:jc w:val="center"/>
              <w:rPr>
                <w:rFonts w:hint="default" w:ascii="Times New Roman" w:hAnsi="Times New Roman" w:eastAsia="黑体" w:cs="Times New Roman"/>
                <w:kern w:val="2"/>
                <w:sz w:val="24"/>
                <w:szCs w:val="24"/>
                <w:u w:val="none"/>
                <w:shd w:val="clear" w:color="auto" w:fill="auto"/>
                <w:lang w:val="en-US" w:eastAsia="zh-CN" w:bidi="zh-TW"/>
              </w:rPr>
            </w:pPr>
            <w:r>
              <w:rPr>
                <w:rFonts w:hint="default" w:ascii="Times New Roman" w:hAnsi="Times New Roman" w:eastAsia="黑体" w:cs="Times New Roman"/>
                <w:color w:val="000000"/>
                <w:spacing w:val="0"/>
                <w:w w:val="100"/>
                <w:position w:val="0"/>
                <w:sz w:val="24"/>
                <w:szCs w:val="24"/>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22"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222"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516"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110"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155"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108"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223"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037"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082"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550"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c>
          <w:tcPr>
            <w:tcW w:w="1223" w:type="dxa"/>
            <w:tcBorders>
              <w:tl2br w:val="nil"/>
              <w:tr2bl w:val="nil"/>
            </w:tcBorders>
            <w:noWrap w:val="0"/>
            <w:vAlign w:val="top"/>
          </w:tcPr>
          <w:p>
            <w:pPr>
              <w:jc w:val="both"/>
              <w:rPr>
                <w:rFonts w:hint="default" w:ascii="Times New Roman" w:hAnsi="Times New Roman" w:eastAsia="仿宋_GB2312" w:cs="Times New Roman"/>
                <w:sz w:val="24"/>
                <w:szCs w:val="24"/>
                <w:vertAlign w:val="baseline"/>
                <w:lang w:val="en-US" w:eastAsia="zh-CN"/>
              </w:rPr>
            </w:pPr>
          </w:p>
        </w:tc>
      </w:tr>
    </w:tbl>
    <w:p>
      <w:pPr>
        <w:jc w:val="both"/>
        <w:rPr>
          <w:rFonts w:hint="default" w:ascii="Times New Roman" w:hAnsi="Times New Roman" w:eastAsia="仿宋_GB2312" w:cs="Times New Roman"/>
          <w:sz w:val="28"/>
          <w:szCs w:val="28"/>
          <w:lang w:val="en-US" w:eastAsia="zh-CN"/>
        </w:rPr>
      </w:pPr>
    </w:p>
    <w:p>
      <w:pPr>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填报人：                                                                  联系电话：</w:t>
      </w:r>
    </w:p>
    <w:p>
      <w:pPr>
        <w:jc w:val="both"/>
        <w:rPr>
          <w:rFonts w:hint="default" w:ascii="Times New Roman" w:hAnsi="Times New Roman" w:eastAsia="仿宋_GB2312" w:cs="Times New Roman"/>
          <w:sz w:val="28"/>
          <w:szCs w:val="28"/>
          <w:lang w:val="en-US" w:eastAsia="zh-CN"/>
        </w:rPr>
      </w:pPr>
    </w:p>
    <w:p>
      <w:pPr>
        <w:jc w:val="left"/>
        <w:rPr>
          <w:rFonts w:hint="default" w:ascii="Times New Roman" w:hAnsi="Times New Roman" w:eastAsia="仿宋_GB2312" w:cs="Times New Roman"/>
          <w:b w:val="0"/>
          <w:bCs/>
          <w:color w:val="000000"/>
          <w:spacing w:val="0"/>
          <w:w w:val="100"/>
          <w:position w:val="0"/>
          <w:sz w:val="28"/>
          <w:szCs w:val="28"/>
        </w:rPr>
      </w:pPr>
      <w:r>
        <w:rPr>
          <w:rFonts w:hint="default" w:ascii="Times New Roman" w:hAnsi="Times New Roman" w:eastAsia="仿宋_GB2312" w:cs="Times New Roman"/>
          <w:b w:val="0"/>
          <w:bCs/>
          <w:spacing w:val="-6"/>
          <w:sz w:val="28"/>
          <w:szCs w:val="28"/>
          <w:lang w:val="en-US" w:eastAsia="zh-CN"/>
        </w:rPr>
        <w:t>注：本表实行累计报送，</w:t>
      </w:r>
      <w:r>
        <w:rPr>
          <w:rFonts w:hint="default" w:ascii="Times New Roman" w:hAnsi="Times New Roman" w:eastAsia="仿宋_GB2312" w:cs="Times New Roman"/>
          <w:b w:val="0"/>
          <w:bCs/>
          <w:color w:val="000000"/>
          <w:spacing w:val="0"/>
          <w:w w:val="100"/>
          <w:position w:val="0"/>
          <w:sz w:val="28"/>
          <w:szCs w:val="28"/>
        </w:rPr>
        <w:t>每次统计</w:t>
      </w:r>
      <w:r>
        <w:rPr>
          <w:rFonts w:hint="default" w:ascii="Times New Roman" w:hAnsi="Times New Roman" w:eastAsia="仿宋_GB2312" w:cs="Times New Roman"/>
          <w:b w:val="0"/>
          <w:bCs/>
          <w:color w:val="000000"/>
          <w:spacing w:val="0"/>
          <w:w w:val="100"/>
          <w:position w:val="0"/>
          <w:sz w:val="28"/>
          <w:szCs w:val="28"/>
          <w:lang w:val="zh-CN" w:eastAsia="zh-CN" w:bidi="zh-CN"/>
        </w:rPr>
        <w:t>“截止</w:t>
      </w:r>
      <w:r>
        <w:rPr>
          <w:rFonts w:hint="default" w:ascii="Times New Roman" w:hAnsi="Times New Roman" w:eastAsia="仿宋_GB2312" w:cs="Times New Roman"/>
          <w:b w:val="0"/>
          <w:bCs/>
          <w:color w:val="000000"/>
          <w:spacing w:val="0"/>
          <w:w w:val="100"/>
          <w:position w:val="0"/>
          <w:sz w:val="28"/>
          <w:szCs w:val="28"/>
        </w:rPr>
        <w:t>日期”前的累计汇总情况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专项检查处罚详情表</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p>
    <w:tbl>
      <w:tblPr>
        <w:tblStyle w:val="10"/>
        <w:tblW w:w="14277"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795"/>
        <w:gridCol w:w="1935"/>
        <w:gridCol w:w="1110"/>
        <w:gridCol w:w="2640"/>
        <w:gridCol w:w="2730"/>
        <w:gridCol w:w="2055"/>
        <w:gridCol w:w="21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707" w:type="dxa"/>
            <w:gridSpan w:val="2"/>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被处罚主体</w:t>
            </w:r>
          </w:p>
        </w:tc>
        <w:tc>
          <w:tcPr>
            <w:tcW w:w="1935" w:type="dxa"/>
            <w:vMerge w:val="restar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实施处罚机关</w:t>
            </w:r>
          </w:p>
        </w:tc>
        <w:tc>
          <w:tcPr>
            <w:tcW w:w="111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所属行业领域</w:t>
            </w:r>
          </w:p>
        </w:tc>
        <w:tc>
          <w:tcPr>
            <w:tcW w:w="264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bidi="ar"/>
              </w:rPr>
            </w:pPr>
            <w:r>
              <w:rPr>
                <w:rFonts w:hint="default" w:ascii="Times New Roman" w:hAnsi="Times New Roman" w:eastAsia="黑体" w:cs="Times New Roman"/>
                <w:b w:val="0"/>
                <w:bCs w:val="0"/>
                <w:i w:val="0"/>
                <w:iCs w:val="0"/>
                <w:color w:val="000000"/>
                <w:kern w:val="0"/>
                <w:sz w:val="28"/>
                <w:szCs w:val="28"/>
                <w:u w:val="none"/>
                <w:lang w:val="en-US" w:eastAsia="zh-CN" w:bidi="ar"/>
              </w:rPr>
              <w:t>处罚原因</w:t>
            </w:r>
          </w:p>
        </w:tc>
        <w:tc>
          <w:tcPr>
            <w:tcW w:w="273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处罚依据*条*款*项</w:t>
            </w:r>
          </w:p>
        </w:tc>
        <w:tc>
          <w:tcPr>
            <w:tcW w:w="4155" w:type="dxa"/>
            <w:gridSpan w:val="2"/>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行政处罚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912"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机构</w:t>
            </w:r>
          </w:p>
        </w:tc>
        <w:tc>
          <w:tcPr>
            <w:tcW w:w="79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个人</w:t>
            </w:r>
          </w:p>
        </w:tc>
        <w:tc>
          <w:tcPr>
            <w:tcW w:w="1935" w:type="dxa"/>
            <w:vMerge w:val="continue"/>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p>
        </w:tc>
        <w:tc>
          <w:tcPr>
            <w:tcW w:w="1110" w:type="dxa"/>
            <w:vMerge w:val="continue"/>
            <w:tcBorders>
              <w:tl2br w:val="nil"/>
              <w:tr2bl w:val="nil"/>
            </w:tcBorders>
            <w:noWrap w:val="0"/>
            <w:vAlign w:val="center"/>
          </w:tcPr>
          <w:p>
            <w:pPr>
              <w:jc w:val="center"/>
              <w:rPr>
                <w:rFonts w:hint="default" w:ascii="Times New Roman" w:hAnsi="Times New Roman" w:eastAsia="黑体" w:cs="Times New Roman"/>
                <w:b w:val="0"/>
                <w:bCs w:val="0"/>
                <w:i w:val="0"/>
                <w:iCs w:val="0"/>
                <w:color w:val="000000"/>
                <w:sz w:val="28"/>
                <w:szCs w:val="28"/>
                <w:u w:val="none"/>
              </w:rPr>
            </w:pPr>
          </w:p>
        </w:tc>
        <w:tc>
          <w:tcPr>
            <w:tcW w:w="2640" w:type="dxa"/>
            <w:vMerge w:val="continue"/>
            <w:tcBorders>
              <w:tl2br w:val="nil"/>
              <w:tr2bl w:val="nil"/>
            </w:tcBorders>
            <w:noWrap/>
            <w:vAlign w:val="center"/>
          </w:tcPr>
          <w:p>
            <w:pPr>
              <w:jc w:val="center"/>
              <w:rPr>
                <w:rFonts w:hint="default" w:ascii="Times New Roman" w:hAnsi="Times New Roman" w:eastAsia="黑体" w:cs="Times New Roman"/>
                <w:b w:val="0"/>
                <w:bCs w:val="0"/>
                <w:i w:val="0"/>
                <w:iCs w:val="0"/>
                <w:color w:val="000000"/>
                <w:sz w:val="28"/>
                <w:szCs w:val="28"/>
                <w:u w:val="none"/>
              </w:rPr>
            </w:pPr>
          </w:p>
        </w:tc>
        <w:tc>
          <w:tcPr>
            <w:tcW w:w="2730" w:type="dxa"/>
            <w:vMerge w:val="continue"/>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p>
        </w:tc>
        <w:tc>
          <w:tcPr>
            <w:tcW w:w="205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处罚类型</w:t>
            </w:r>
          </w:p>
        </w:tc>
        <w:tc>
          <w:tcPr>
            <w:tcW w:w="2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处罚金额（万）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912"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tc>
        <w:tc>
          <w:tcPr>
            <w:tcW w:w="79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tc>
        <w:tc>
          <w:tcPr>
            <w:tcW w:w="193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p>
        </w:tc>
        <w:tc>
          <w:tcPr>
            <w:tcW w:w="1110" w:type="dxa"/>
            <w:tcBorders>
              <w:tl2br w:val="nil"/>
              <w:tr2bl w:val="nil"/>
            </w:tcBorders>
            <w:noWrap w:val="0"/>
            <w:vAlign w:val="center"/>
          </w:tcPr>
          <w:p>
            <w:pPr>
              <w:jc w:val="center"/>
              <w:rPr>
                <w:rFonts w:hint="default" w:ascii="Times New Roman" w:hAnsi="Times New Roman" w:eastAsia="宋体" w:cs="Times New Roman"/>
                <w:b/>
                <w:bCs/>
                <w:i w:val="0"/>
                <w:iCs w:val="0"/>
                <w:color w:val="000000"/>
                <w:sz w:val="28"/>
                <w:szCs w:val="28"/>
                <w:u w:val="none"/>
              </w:rPr>
            </w:pPr>
          </w:p>
        </w:tc>
        <w:tc>
          <w:tcPr>
            <w:tcW w:w="2640" w:type="dxa"/>
            <w:tcBorders>
              <w:tl2br w:val="nil"/>
              <w:tr2bl w:val="nil"/>
            </w:tcBorders>
            <w:noWrap/>
            <w:vAlign w:val="center"/>
          </w:tcPr>
          <w:p>
            <w:pPr>
              <w:jc w:val="center"/>
              <w:rPr>
                <w:rFonts w:hint="default" w:ascii="Times New Roman" w:hAnsi="Times New Roman" w:eastAsia="宋体" w:cs="Times New Roman"/>
                <w:b/>
                <w:bCs/>
                <w:i w:val="0"/>
                <w:iCs w:val="0"/>
                <w:color w:val="000000"/>
                <w:sz w:val="28"/>
                <w:szCs w:val="28"/>
                <w:u w:val="none"/>
              </w:rPr>
            </w:pPr>
          </w:p>
        </w:tc>
        <w:tc>
          <w:tcPr>
            <w:tcW w:w="273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tc>
        <w:tc>
          <w:tcPr>
            <w:tcW w:w="205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tc>
        <w:tc>
          <w:tcPr>
            <w:tcW w:w="2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p>
        </w:tc>
      </w:tr>
    </w:tbl>
    <w:p>
      <w:pPr>
        <w:rPr>
          <w:rFonts w:hint="default" w:ascii="Times New Roman" w:hAnsi="Times New Roman" w:cs="Times New Roman"/>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p>
    <w:p>
      <w:pPr>
        <w:pStyle w:val="16"/>
        <w:keepNext w:val="0"/>
        <w:keepLines w:val="0"/>
        <w:pageBreakBefore w:val="0"/>
        <w:widowControl w:val="0"/>
        <w:shd w:val="clear" w:color="auto" w:fill="auto"/>
        <w:kinsoku/>
        <w:wordWrap/>
        <w:overflowPunct/>
        <w:topLinePunct w:val="0"/>
        <w:autoSpaceDE/>
        <w:autoSpaceDN/>
        <w:bidi w:val="0"/>
        <w:adjustRightInd/>
        <w:spacing w:before="0" w:after="140" w:line="600" w:lineRule="exact"/>
        <w:ind w:right="1180" w:firstLine="1716" w:firstLineChars="390"/>
        <w:jc w:val="center"/>
        <w:rPr>
          <w:rFonts w:hint="default" w:ascii="Times New Roman" w:hAnsi="Times New Roman" w:eastAsia="方正小标宋简体" w:cs="Times New Roman"/>
          <w:b w:val="0"/>
          <w:bCs w:val="0"/>
          <w:color w:val="auto"/>
          <w:kern w:val="2"/>
          <w:sz w:val="44"/>
          <w:szCs w:val="44"/>
          <w:lang w:val="en-US" w:eastAsia="zh-CN" w:bidi="ar-SA"/>
        </w:rPr>
      </w:pPr>
      <w:r>
        <w:rPr>
          <w:rFonts w:hint="default" w:ascii="Times New Roman" w:hAnsi="Times New Roman" w:eastAsia="方正小标宋简体" w:cs="Times New Roman"/>
          <w:b w:val="0"/>
          <w:bCs w:val="0"/>
          <w:color w:val="auto"/>
          <w:kern w:val="2"/>
          <w:sz w:val="44"/>
          <w:szCs w:val="44"/>
          <w:lang w:val="en-US" w:eastAsia="zh-CN" w:bidi="ar-SA"/>
        </w:rPr>
        <w:t>典型案例报送要求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典型案例应包括标题、基本案情、处理理由及结果、案例评析、法律适用等要件，确保典型案例格式规范统一。具体而言，典型案例报送可参照如下模板：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【标题】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【基本案情】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详细介绍案件事实等基本情况。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【处理理由及结果】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通过对相关法律、法规的适用，给出案件的处理理由及结果。理由应包括证据采信理由、依据选择理由、决定裁量理由等。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【案件评析】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对典型案例进行评析，明确在类似案件执法中的参考借鉴价值，指出需要完善改进的地方。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【法律适用】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列明适用的相关法律法规的规定及条款。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微软雅黑" w:cs="Times New Roman"/>
          <w:sz w:val="28"/>
          <w:szCs w:val="28"/>
          <w:lang w:val="en-US" w:eastAsia="zh-CN"/>
        </w:rPr>
      </w:pPr>
    </w:p>
    <w:p>
      <w:pPr>
        <w:rPr>
          <w:rFonts w:hint="default" w:ascii="Times New Roman" w:hAnsi="Times New Roman" w:eastAsia="仿宋_GB2312" w:cs="Times New Roman"/>
          <w:sz w:val="32"/>
          <w:szCs w:val="32"/>
        </w:rPr>
      </w:pPr>
    </w:p>
    <w:p>
      <w:pPr>
        <w:rPr>
          <w:rFonts w:hint="default" w:ascii="Times New Roman" w:hAnsi="Times New Roman" w:cs="Times New Roman"/>
        </w:rPr>
      </w:pPr>
      <w:bookmarkStart w:id="0" w:name="_GoBack"/>
      <w:bookmarkEnd w:id="0"/>
    </w:p>
    <w:sectPr>
      <w:footerReference r:id="rId5" w:type="default"/>
      <w:pgSz w:w="11906" w:h="16838"/>
      <w:pgMar w:top="1967" w:right="1474" w:bottom="1899" w:left="1587"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3EC"/>
    <w:rsid w:val="000F4D5C"/>
    <w:rsid w:val="00277E22"/>
    <w:rsid w:val="0028422B"/>
    <w:rsid w:val="003B7AC9"/>
    <w:rsid w:val="003C1513"/>
    <w:rsid w:val="00416900"/>
    <w:rsid w:val="004D3CC5"/>
    <w:rsid w:val="005079DC"/>
    <w:rsid w:val="0051621A"/>
    <w:rsid w:val="0058342B"/>
    <w:rsid w:val="005B751C"/>
    <w:rsid w:val="005D7782"/>
    <w:rsid w:val="006D7B6E"/>
    <w:rsid w:val="0070073C"/>
    <w:rsid w:val="00747231"/>
    <w:rsid w:val="007C6992"/>
    <w:rsid w:val="007F0D70"/>
    <w:rsid w:val="00885558"/>
    <w:rsid w:val="00963C07"/>
    <w:rsid w:val="00986812"/>
    <w:rsid w:val="00A543EC"/>
    <w:rsid w:val="00AF27F5"/>
    <w:rsid w:val="00B21B14"/>
    <w:rsid w:val="00BB4D29"/>
    <w:rsid w:val="00C51625"/>
    <w:rsid w:val="00C871EC"/>
    <w:rsid w:val="00CC762B"/>
    <w:rsid w:val="00D323BC"/>
    <w:rsid w:val="00D60EE6"/>
    <w:rsid w:val="00E35722"/>
    <w:rsid w:val="00E37B27"/>
    <w:rsid w:val="00E42BD7"/>
    <w:rsid w:val="00ED2790"/>
    <w:rsid w:val="00F25CCE"/>
    <w:rsid w:val="05F8422A"/>
    <w:rsid w:val="0ED409B3"/>
    <w:rsid w:val="0F9A13E9"/>
    <w:rsid w:val="10C12920"/>
    <w:rsid w:val="136B745A"/>
    <w:rsid w:val="13DF08C3"/>
    <w:rsid w:val="14563B20"/>
    <w:rsid w:val="14E0054B"/>
    <w:rsid w:val="1FC30866"/>
    <w:rsid w:val="275E5B16"/>
    <w:rsid w:val="29FED736"/>
    <w:rsid w:val="305D0127"/>
    <w:rsid w:val="34547728"/>
    <w:rsid w:val="36AD7A4F"/>
    <w:rsid w:val="3DEAF21F"/>
    <w:rsid w:val="40DB3CD9"/>
    <w:rsid w:val="420138C2"/>
    <w:rsid w:val="428D3EA3"/>
    <w:rsid w:val="471632FC"/>
    <w:rsid w:val="47DC1ECC"/>
    <w:rsid w:val="4DA16196"/>
    <w:rsid w:val="50B96BAC"/>
    <w:rsid w:val="54531686"/>
    <w:rsid w:val="55A77C50"/>
    <w:rsid w:val="5B4C058B"/>
    <w:rsid w:val="5BC13104"/>
    <w:rsid w:val="5BC724F1"/>
    <w:rsid w:val="6AD32BCA"/>
    <w:rsid w:val="6B2050C3"/>
    <w:rsid w:val="6E270DBD"/>
    <w:rsid w:val="6ED3EF02"/>
    <w:rsid w:val="6F7743AD"/>
    <w:rsid w:val="7B77D5CD"/>
    <w:rsid w:val="7FBFEF7A"/>
    <w:rsid w:val="ECBEFC9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uppressAutoHyphens/>
      <w:bidi w:val="0"/>
      <w:spacing w:after="120"/>
      <w:ind w:left="420" w:leftChars="200"/>
    </w:pPr>
    <w:rPr>
      <w:rFonts w:ascii="Calibri" w:hAnsi="Calibri" w:eastAsia="宋体" w:cs="Times New Roman"/>
      <w:color w:val="auto"/>
    </w:rPr>
  </w:style>
  <w:style w:type="paragraph" w:styleId="4">
    <w:name w:val="Normal Indent"/>
    <w:basedOn w:val="1"/>
    <w:qFormat/>
    <w:uiPriority w:val="0"/>
    <w:pPr>
      <w:suppressAutoHyphens/>
      <w:bidi w:val="0"/>
      <w:ind w:firstLine="420" w:firstLineChars="200"/>
    </w:pPr>
    <w:rPr>
      <w:rFonts w:ascii="Calibri" w:hAnsi="Calibri" w:eastAsia="仿宋" w:cs="Times New Roman"/>
      <w:color w:val="auto"/>
      <w:sz w:val="32"/>
    </w:rPr>
  </w:style>
  <w:style w:type="paragraph" w:styleId="5">
    <w:name w:val="Body Text"/>
    <w:basedOn w:val="1"/>
    <w:qFormat/>
    <w:uiPriority w:val="0"/>
    <w:pPr>
      <w:suppressAutoHyphens/>
      <w:bidi w:val="0"/>
      <w:spacing w:before="0" w:after="140" w:line="276" w:lineRule="auto"/>
    </w:pPr>
    <w:rPr>
      <w:rFonts w:ascii="Calibri" w:hAnsi="Calibri" w:eastAsia="宋体" w:cs="Times New Roman"/>
      <w:color w:val="auto"/>
    </w:rPr>
  </w:style>
  <w:style w:type="paragraph" w:styleId="6">
    <w:name w:val="Balloon Text"/>
    <w:basedOn w:val="1"/>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spacing w:line="500" w:lineRule="exact"/>
      <w:ind w:firstLine="420"/>
    </w:pPr>
    <w:rPr>
      <w:rFonts w:eastAsia="宋体"/>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rFonts w:ascii="Times New Roman" w:hAnsi="Times New Roman" w:eastAsia="宋体" w:cs="Times New Roman"/>
      <w:color w:val="0000FF"/>
      <w:u w:val="single"/>
    </w:rPr>
  </w:style>
  <w:style w:type="character" w:customStyle="1" w:styleId="14">
    <w:name w:val="页脚 Char"/>
    <w:link w:val="7"/>
    <w:qFormat/>
    <w:uiPriority w:val="0"/>
    <w:rPr>
      <w:rFonts w:ascii="Times New Roman" w:hAnsi="Times New Roman" w:eastAsia="宋体" w:cs="Times New Roman"/>
      <w:sz w:val="18"/>
      <w:szCs w:val="18"/>
    </w:rPr>
  </w:style>
  <w:style w:type="character" w:customStyle="1" w:styleId="15">
    <w:name w:val="页眉 Char"/>
    <w:link w:val="8"/>
    <w:qFormat/>
    <w:uiPriority w:val="0"/>
    <w:rPr>
      <w:rFonts w:ascii="Times New Roman" w:hAnsi="Times New Roman" w:eastAsia="宋体" w:cs="Times New Roman"/>
      <w:sz w:val="18"/>
      <w:szCs w:val="18"/>
    </w:rPr>
  </w:style>
  <w:style w:type="paragraph" w:customStyle="1" w:styleId="16">
    <w:name w:val="Body text|1"/>
    <w:basedOn w:val="1"/>
    <w:qFormat/>
    <w:uiPriority w:val="0"/>
    <w:pPr>
      <w:suppressAutoHyphens/>
      <w:bidi w:val="0"/>
      <w:spacing w:line="444" w:lineRule="auto"/>
      <w:ind w:firstLine="400"/>
    </w:pPr>
    <w:rPr>
      <w:rFonts w:ascii="宋体" w:hAnsi="宋体" w:eastAsia="宋体" w:cs="宋体"/>
      <w:color w:val="auto"/>
      <w:sz w:val="28"/>
      <w:szCs w:val="28"/>
      <w:lang w:val="zh-TW" w:eastAsia="zh-TW" w:bidi="zh-TW"/>
    </w:rPr>
  </w:style>
  <w:style w:type="paragraph" w:customStyle="1" w:styleId="17">
    <w:name w:val="Other|1"/>
    <w:basedOn w:val="1"/>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3416</Words>
  <Characters>3538</Characters>
  <Lines>0</Lines>
  <Paragraphs>0</Paragraphs>
  <TotalTime>0</TotalTime>
  <ScaleCrop>false</ScaleCrop>
  <LinksUpToDate>false</LinksUpToDate>
  <CharactersWithSpaces>3538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2023-05-26T08:47:00Z</dcterms:created>
  <dc:creator>00</dc:creator>
  <cp:lastModifiedBy>李秀琪</cp:lastModifiedBy>
  <cp:lastPrinted>2023-05-31T22:26:00Z</cp:lastPrinted>
  <dcterms:modified xsi:type="dcterms:W3CDTF">2023-05-31T02:11:58Z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399401AC30914E15A023DB7C1F15D7E4_12</vt:lpwstr>
  </property>
  <property fmtid="{D5CDD505-2E9C-101B-9397-08002B2CF9AE}" pid="4" name="woSyncTypoMode" linkTarget="0">
    <vt:bool>false</vt:bool>
  </property>
  <property fmtid="{D5CDD505-2E9C-101B-9397-08002B2CF9AE}" pid="5" name="woTypoMode" linkTarget="0">
    <vt:lpwstr>pages</vt:lpwstr>
  </property>
</Properties>
</file>