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ff9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855"/>
      </w:tblGrid>
      <w:tr w:rsidR="00F862B4" w14:paraId="1219811F" w14:textId="77777777">
        <w:tc>
          <w:tcPr>
            <w:tcW w:w="509" w:type="dxa"/>
          </w:tcPr>
          <w:p w14:paraId="1219811D" w14:textId="77777777" w:rsidR="00F862B4" w:rsidRDefault="00000000">
            <w:pPr>
              <w:pStyle w:val="affff2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ICS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1219811E" w14:textId="77777777" w:rsidR="00F862B4" w:rsidRDefault="00F862B4">
            <w:pPr>
              <w:pStyle w:val="affff2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  <w:tr w:rsidR="00F862B4" w14:paraId="12198122" w14:textId="77777777">
        <w:tc>
          <w:tcPr>
            <w:tcW w:w="509" w:type="dxa"/>
          </w:tcPr>
          <w:p w14:paraId="12198120" w14:textId="77777777" w:rsidR="00F862B4" w:rsidRDefault="00000000">
            <w:pPr>
              <w:pStyle w:val="affff2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 xml:space="preserve">CCS 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12198121" w14:textId="77777777" w:rsidR="00F862B4" w:rsidRDefault="00F862B4">
            <w:pPr>
              <w:pStyle w:val="affff2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</w:tbl>
    <w:p w14:paraId="12198123" w14:textId="77777777" w:rsidR="00F862B4" w:rsidRDefault="00000000">
      <w:pPr>
        <w:pStyle w:val="afffff2"/>
        <w:framePr w:w="9639" w:h="1391" w:hRule="exact" w:hSpace="181" w:vSpace="181" w:wrap="around" w:hAnchor="page" w:x="1305" w:y="1491"/>
        <w:rPr>
          <w:rFonts w:ascii="黑体" w:eastAsia="黑体" w:hAnsi="黑体" w:hint="eastAsia"/>
          <w:b w:val="0"/>
          <w:bCs w:val="0"/>
          <w:w w:val="100"/>
          <w:sz w:val="96"/>
          <w:szCs w:val="96"/>
        </w:rPr>
      </w:pPr>
      <w:r>
        <w:rPr>
          <w:rFonts w:ascii="黑体" w:eastAsia="黑体" w:hAnsi="黑体" w:hint="eastAsia"/>
          <w:b w:val="0"/>
          <w:bCs w:val="0"/>
          <w:w w:val="100"/>
          <w:sz w:val="96"/>
          <w:szCs w:val="96"/>
        </w:rPr>
        <w:t>团体标准</w:t>
      </w:r>
    </w:p>
    <w:p w14:paraId="12198124" w14:textId="77777777" w:rsidR="00F862B4" w:rsidRDefault="00000000">
      <w:pPr>
        <w:pStyle w:val="affffffffff4"/>
        <w:framePr w:wrap="around"/>
        <w:rPr>
          <w:rFonts w:ascii="Times New Roman"/>
        </w:rPr>
      </w:pPr>
      <w:r>
        <w:rPr>
          <w:rFonts w:ascii="Times New Roman"/>
        </w:rPr>
        <w:t>T</w:t>
      </w:r>
      <w:r>
        <w:rPr>
          <w:rFonts w:ascii="Times New Roman"/>
        </w:rPr>
        <w:fldChar w:fldCharType="begin">
          <w:ffData>
            <w:name w:val="文字1"/>
            <w:enabled/>
            <w:calcOnExit w:val="0"/>
            <w:textInput>
              <w:default w:val="/ ZAWS"/>
            </w:textInput>
          </w:ffData>
        </w:fldChar>
      </w:r>
      <w:bookmarkStart w:id="0" w:name="文字1"/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</w:rPr>
        <w:t>/ ZAWS</w:t>
      </w:r>
      <w:r>
        <w:rPr>
          <w:rFonts w:ascii="Times New Roman"/>
        </w:rPr>
        <w:fldChar w:fldCharType="end"/>
      </w:r>
      <w:bookmarkEnd w:id="0"/>
      <w:r>
        <w:rPr>
          <w:rFonts w:ascii="Times New Roman" w:hint="eastAsia"/>
        </w:rPr>
        <w:t>××</w:t>
      </w:r>
      <w:r>
        <w:rPr>
          <w:rFonts w:ascii="Times New Roman"/>
        </w:rPr>
        <w:t>—202</w:t>
      </w:r>
      <w:r>
        <w:rPr>
          <w:rFonts w:ascii="Times New Roman" w:hint="eastAsia"/>
        </w:rPr>
        <w:t>5</w:t>
      </w:r>
    </w:p>
    <w:p w14:paraId="12198125" w14:textId="77777777" w:rsidR="00F862B4" w:rsidRDefault="00000000">
      <w:pPr>
        <w:pStyle w:val="affffffffff5"/>
        <w:framePr w:wrap="around"/>
        <w:rPr>
          <w:rFonts w:hAnsi="黑体" w:hint="eastAsia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1" w:name="OSTD_CODE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1"/>
    </w:p>
    <w:p w14:paraId="12198126" w14:textId="77777777" w:rsidR="00F862B4" w:rsidRDefault="00000000">
      <w:pPr>
        <w:spacing w:line="240" w:lineRule="auto"/>
        <w:rPr>
          <w:rFonts w:ascii="黑体" w:eastAsia="黑体" w:hAnsi="黑体" w:hint="eastAsia"/>
          <w:kern w:val="0"/>
          <w:sz w:val="10"/>
          <w:szCs w:val="10"/>
        </w:r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21984FE" wp14:editId="121984FF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424D2" id="直接连接符 7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212.65pt" to="552.8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" o:allowoverlap="f">
                <w10:wrap anchorx="page" anchory="page"/>
              </v:line>
            </w:pict>
          </mc:Fallback>
        </mc:AlternateContent>
      </w:r>
    </w:p>
    <w:p w14:paraId="12198127" w14:textId="77777777" w:rsidR="00F862B4" w:rsidRDefault="00F862B4">
      <w:pPr>
        <w:pStyle w:val="afffff2"/>
        <w:framePr w:w="9639" w:h="6976" w:hRule="exact" w:hSpace="0" w:vSpace="0" w:wrap="around" w:hAnchor="page" w:y="6408"/>
        <w:jc w:val="center"/>
        <w:rPr>
          <w:rFonts w:ascii="黑体" w:eastAsia="黑体" w:hAnsi="黑体" w:hint="eastAsia"/>
          <w:b w:val="0"/>
          <w:bCs w:val="0"/>
          <w:w w:val="100"/>
        </w:rPr>
      </w:pPr>
    </w:p>
    <w:p w14:paraId="12198128" w14:textId="77777777" w:rsidR="00F862B4" w:rsidRDefault="00000000">
      <w:pPr>
        <w:pStyle w:val="affffffffff6"/>
        <w:framePr w:h="6974" w:hRule="exact" w:wrap="around" w:x="1419" w:anchorLock="1"/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2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涂装企业安全现状评价导则</w:t>
      </w:r>
      <w:r>
        <w:fldChar w:fldCharType="end"/>
      </w:r>
      <w:bookmarkEnd w:id="2"/>
    </w:p>
    <w:p w14:paraId="12198129" w14:textId="77777777" w:rsidR="00F862B4" w:rsidRDefault="00F862B4">
      <w:pPr>
        <w:framePr w:w="9639" w:h="6974" w:hRule="exact" w:wrap="around" w:vAnchor="page" w:hAnchor="page" w:x="1419" w:y="6408" w:anchorLock="1"/>
        <w:ind w:left="-1418"/>
      </w:pPr>
    </w:p>
    <w:p w14:paraId="1219812A" w14:textId="77777777" w:rsidR="00F862B4" w:rsidRDefault="00000000">
      <w:pPr>
        <w:pStyle w:val="afffffffa"/>
        <w:framePr w:w="9639" w:h="6974" w:hRule="exact" w:wrap="around" w:vAnchor="page" w:hAnchor="page" w:x="1419" w:y="6408" w:anchorLock="1"/>
        <w:tabs>
          <w:tab w:val="left" w:pos="2819"/>
          <w:tab w:val="center" w:pos="4879"/>
        </w:tabs>
        <w:textAlignment w:val="bottom"/>
        <w:rPr>
          <w:rFonts w:eastAsia="黑体"/>
          <w:szCs w:val="28"/>
        </w:rPr>
      </w:pPr>
      <w:r>
        <w:rPr>
          <w:rFonts w:eastAsia="黑体" w:hint="eastAsia"/>
          <w:szCs w:val="28"/>
        </w:rPr>
        <w:t>Specification for safety evaluation of painting and processing enterprises</w:t>
      </w:r>
    </w:p>
    <w:p w14:paraId="1219812B" w14:textId="77777777" w:rsidR="00F862B4" w:rsidRDefault="00F862B4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1219812C" w14:textId="77777777" w:rsidR="00F862B4" w:rsidRDefault="00F862B4">
      <w:pPr>
        <w:pStyle w:val="afffffffa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1219812D" w14:textId="77777777" w:rsidR="00F862B4" w:rsidRDefault="00000000">
      <w:pPr>
        <w:pStyle w:val="afffffffa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3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3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3"/>
    </w:p>
    <w:p w14:paraId="1219812E" w14:textId="77777777" w:rsidR="00F862B4" w:rsidRDefault="00F862B4">
      <w:pPr>
        <w:pStyle w:val="afffffffa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</w:p>
    <w:p w14:paraId="1219812F" w14:textId="77777777" w:rsidR="00F862B4" w:rsidRDefault="00F862B4">
      <w:pPr>
        <w:pStyle w:val="afffffffa"/>
        <w:framePr w:w="9639" w:h="6974" w:hRule="exact" w:wrap="around" w:vAnchor="page" w:hAnchor="page" w:x="1419" w:y="6408" w:anchorLock="1"/>
        <w:spacing w:beforeLines="300" w:before="720" w:afterLines="30" w:after="72" w:line="240" w:lineRule="auto"/>
        <w:textAlignment w:val="bottom"/>
        <w:rPr>
          <w:b/>
          <w:sz w:val="21"/>
          <w:szCs w:val="28"/>
        </w:rPr>
      </w:pPr>
    </w:p>
    <w:p w14:paraId="12198130" w14:textId="77777777" w:rsidR="00F862B4" w:rsidRDefault="00000000">
      <w:pPr>
        <w:pStyle w:val="affffffffff2"/>
        <w:framePr w:wrap="around" w:y="14176"/>
      </w:pPr>
      <w:r>
        <w:rPr>
          <w:rFonts w:hint="eastAsia"/>
        </w:rPr>
        <w:t>2025</w:t>
      </w:r>
      <w:r>
        <w:rPr>
          <w:rFonts w:ascii="黑体"/>
        </w:rPr>
        <w:t>-</w:t>
      </w:r>
      <w:r>
        <w:rPr>
          <w:rFonts w:hint="eastAsia"/>
        </w:rPr>
        <w:t>××</w:t>
      </w:r>
      <w:r>
        <w:rPr>
          <w:rFonts w:ascii="黑体"/>
        </w:rPr>
        <w:t>-</w:t>
      </w:r>
      <w:r>
        <w:t xml:space="preserve"> </w:t>
      </w:r>
      <w:r>
        <w:rPr>
          <w:rFonts w:hint="eastAsia"/>
        </w:rPr>
        <w:t>××发布</w:t>
      </w:r>
    </w:p>
    <w:p w14:paraId="12198131" w14:textId="77777777" w:rsidR="00F862B4" w:rsidRDefault="00000000">
      <w:pPr>
        <w:pStyle w:val="affffffffff3"/>
        <w:framePr w:wrap="around" w:y="14176"/>
      </w:pPr>
      <w:r>
        <w:rPr>
          <w:rFonts w:hint="eastAsia"/>
        </w:rPr>
        <w:t>2025</w:t>
      </w:r>
      <w:r>
        <w:rPr>
          <w:rFonts w:ascii="黑体"/>
        </w:rPr>
        <w:t>-</w:t>
      </w:r>
      <w:r>
        <w:rPr>
          <w:rFonts w:hint="eastAsia"/>
        </w:rPr>
        <w:t>××</w:t>
      </w:r>
      <w:r>
        <w:rPr>
          <w:rFonts w:ascii="黑体"/>
        </w:rPr>
        <w:t>-</w:t>
      </w:r>
      <w:r>
        <w:rPr>
          <w:rFonts w:hint="eastAsia"/>
        </w:rPr>
        <w:t>××实施</w:t>
      </w:r>
    </w:p>
    <w:p w14:paraId="12198132" w14:textId="77777777" w:rsidR="00F862B4" w:rsidRDefault="00000000">
      <w:pPr>
        <w:pStyle w:val="affffffffa"/>
        <w:framePr w:h="584" w:hRule="exact" w:hSpace="181" w:vSpace="181" w:wrap="around" w:y="15027"/>
        <w:rPr>
          <w:rFonts w:hAnsi="黑体" w:hint="eastAsia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>
              <w:default w:val="浙江省安全生产协会"/>
            </w:textInput>
          </w:ffData>
        </w:fldChar>
      </w:r>
      <w:bookmarkStart w:id="4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</w:r>
      <w:r>
        <w:rPr>
          <w:rFonts w:hAnsi="黑体"/>
          <w:w w:val="100"/>
          <w:sz w:val="28"/>
        </w:rPr>
        <w:fldChar w:fldCharType="separate"/>
      </w:r>
      <w:r>
        <w:rPr>
          <w:rFonts w:hAnsi="黑体"/>
          <w:w w:val="100"/>
          <w:sz w:val="28"/>
        </w:rPr>
        <w:t>浙江省安全生产协会</w:t>
      </w:r>
      <w:r>
        <w:rPr>
          <w:rFonts w:hAnsi="黑体"/>
          <w:w w:val="100"/>
          <w:sz w:val="28"/>
        </w:rPr>
        <w:fldChar w:fldCharType="end"/>
      </w:r>
      <w:bookmarkEnd w:id="4"/>
      <w:r>
        <w:rPr>
          <w:rFonts w:ascii="Times New Roman"/>
          <w:w w:val="100"/>
          <w:sz w:val="28"/>
        </w:rPr>
        <w:t>  </w:t>
      </w:r>
      <w:r>
        <w:rPr>
          <w:rStyle w:val="afffffffffffb"/>
          <w:rFonts w:hAnsi="黑体" w:hint="eastAsia"/>
          <w:position w:val="0"/>
        </w:rPr>
        <w:t>发</w:t>
      </w:r>
      <w:r>
        <w:rPr>
          <w:rStyle w:val="afffffffffffb"/>
          <w:rFonts w:hAnsi="黑体" w:hint="eastAsia"/>
          <w:spacing w:val="0"/>
          <w:position w:val="0"/>
        </w:rPr>
        <w:t>布</w:t>
      </w:r>
    </w:p>
    <w:p w14:paraId="12198133" w14:textId="77777777" w:rsidR="00F862B4" w:rsidRDefault="00000000">
      <w:pPr>
        <w:rPr>
          <w:rFonts w:ascii="宋体" w:hAnsi="宋体" w:hint="eastAsia"/>
          <w:sz w:val="28"/>
          <w:szCs w:val="28"/>
        </w:rPr>
        <w:sectPr w:rsidR="00F862B4" w:rsidSect="00D004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2198500" wp14:editId="1219850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7F67B" id="直接连接符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">
                <w10:wrap anchorx="page" anchory="page"/>
                <w10:anchorlock/>
              </v:line>
            </w:pict>
          </mc:Fallback>
        </mc:AlternateContent>
      </w:r>
    </w:p>
    <w:p w14:paraId="50468AF6" w14:textId="77777777" w:rsidR="00D00406" w:rsidRDefault="00D00406" w:rsidP="00D00406">
      <w:pPr>
        <w:pStyle w:val="affffffc"/>
        <w:spacing w:after="468"/>
        <w:rPr>
          <w:rFonts w:hint="eastAsia"/>
        </w:rPr>
      </w:pPr>
      <w:bookmarkStart w:id="5" w:name="BookMark1"/>
      <w:r w:rsidRPr="00D00406">
        <w:rPr>
          <w:rFonts w:hint="eastAsia"/>
          <w:spacing w:val="320"/>
        </w:rPr>
        <w:lastRenderedPageBreak/>
        <w:t>目</w:t>
      </w:r>
      <w:r>
        <w:rPr>
          <w:rFonts w:hint="eastAsia"/>
        </w:rPr>
        <w:t>次</w:t>
      </w:r>
    </w:p>
    <w:p w14:paraId="4D84357A" w14:textId="6C37EB47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r w:rsidRPr="00D00406">
        <w:rPr>
          <w:rFonts w:ascii="Times New Roman" w:hAnsi="Times New Roman"/>
        </w:rPr>
        <w:fldChar w:fldCharType="begin"/>
      </w:r>
      <w:r w:rsidRPr="00D00406">
        <w:rPr>
          <w:rFonts w:ascii="Times New Roman" w:hAnsi="Times New Roman"/>
        </w:rPr>
        <w:instrText xml:space="preserve"> TOC \o "1-1" \h </w:instrText>
      </w:r>
      <w:r w:rsidRPr="00D00406">
        <w:rPr>
          <w:rFonts w:ascii="Times New Roman" w:hAnsi="Times New Roman"/>
        </w:rPr>
        <w:fldChar w:fldCharType="separate"/>
      </w:r>
      <w:hyperlink w:anchor="_Toc207880750" w:history="1">
        <w:r w:rsidRPr="00D00406">
          <w:rPr>
            <w:rStyle w:val="affffd"/>
            <w:rFonts w:ascii="Times New Roman"/>
            <w:noProof/>
          </w:rPr>
          <w:t>前言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_Toc207880750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II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64045BBD" w14:textId="0559FC53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51" w:history="1">
        <w:r w:rsidRPr="00D00406">
          <w:rPr>
            <w:rStyle w:val="affffd"/>
            <w:rFonts w:ascii="Times New Roman"/>
            <w:noProof/>
          </w:rPr>
          <w:t>引言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_Toc207880751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III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16405A5F" w14:textId="56DD91A1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52" w:history="1">
        <w:r w:rsidRPr="00D00406">
          <w:rPr>
            <w:rStyle w:val="affffd"/>
            <w:rFonts w:ascii="Times New Roman"/>
            <w:noProof/>
          </w:rPr>
          <w:t xml:space="preserve">1  </w:t>
        </w:r>
        <w:r w:rsidRPr="00D00406">
          <w:rPr>
            <w:rStyle w:val="affffd"/>
            <w:rFonts w:ascii="Times New Roman"/>
            <w:noProof/>
          </w:rPr>
          <w:t>范围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_Toc207880752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3DD7B9E4" w14:textId="7011C05C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53" w:history="1">
        <w:r w:rsidRPr="00D00406">
          <w:rPr>
            <w:rStyle w:val="affffd"/>
            <w:rFonts w:ascii="Times New Roman"/>
            <w:noProof/>
          </w:rPr>
          <w:t xml:space="preserve">2  </w:t>
        </w:r>
        <w:r w:rsidRPr="00D00406">
          <w:rPr>
            <w:rStyle w:val="affffd"/>
            <w:rFonts w:ascii="Times New Roman"/>
            <w:noProof/>
          </w:rPr>
          <w:t>规范性引用文件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_Toc207880753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18032F54" w14:textId="45154014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54" w:history="1">
        <w:r w:rsidRPr="00D00406">
          <w:rPr>
            <w:rStyle w:val="affffd"/>
            <w:rFonts w:ascii="Times New Roman"/>
            <w:noProof/>
          </w:rPr>
          <w:t xml:space="preserve">3  </w:t>
        </w:r>
        <w:r w:rsidRPr="00D00406">
          <w:rPr>
            <w:rStyle w:val="affffd"/>
            <w:rFonts w:ascii="Times New Roman"/>
            <w:noProof/>
          </w:rPr>
          <w:t>术语和定义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_Toc207880754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4D3B78A4" w14:textId="7784F7A7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55" w:history="1">
        <w:r w:rsidRPr="00D00406">
          <w:rPr>
            <w:rStyle w:val="affffd"/>
            <w:rFonts w:ascii="Times New Roman"/>
            <w:noProof/>
          </w:rPr>
          <w:t xml:space="preserve">4  </w:t>
        </w:r>
        <w:r w:rsidRPr="00D00406">
          <w:rPr>
            <w:rStyle w:val="affffd"/>
            <w:rFonts w:ascii="Times New Roman"/>
            <w:noProof/>
          </w:rPr>
          <w:t>总体要求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_Toc207880755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7D8FFE38" w14:textId="63874917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56" w:history="1">
        <w:r w:rsidRPr="00D00406">
          <w:rPr>
            <w:rStyle w:val="affffd"/>
            <w:rFonts w:ascii="Times New Roman"/>
            <w:noProof/>
          </w:rPr>
          <w:t xml:space="preserve">5  </w:t>
        </w:r>
        <w:r w:rsidRPr="00D00406">
          <w:rPr>
            <w:rStyle w:val="affffd"/>
            <w:rFonts w:ascii="Times New Roman"/>
            <w:noProof/>
          </w:rPr>
          <w:t>前期准备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_Toc207880756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1818B7F6" w14:textId="5B30FCA2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57" w:history="1">
        <w:r w:rsidRPr="00D00406">
          <w:rPr>
            <w:rStyle w:val="affffd"/>
            <w:rFonts w:ascii="Times New Roman"/>
            <w:noProof/>
          </w:rPr>
          <w:t xml:space="preserve">6  </w:t>
        </w:r>
        <w:r w:rsidRPr="00D00406">
          <w:rPr>
            <w:rStyle w:val="affffd"/>
            <w:rFonts w:ascii="Times New Roman"/>
            <w:noProof/>
          </w:rPr>
          <w:t>评价单元及风险点划分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_Toc207880757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07561789" w14:textId="43476411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58" w:history="1">
        <w:r w:rsidRPr="00D00406">
          <w:rPr>
            <w:rStyle w:val="affffd"/>
            <w:rFonts w:ascii="Times New Roman"/>
            <w:noProof/>
          </w:rPr>
          <w:t xml:space="preserve">7  </w:t>
        </w:r>
        <w:r w:rsidRPr="00D00406">
          <w:rPr>
            <w:rStyle w:val="affffd"/>
            <w:rFonts w:ascii="Times New Roman"/>
            <w:noProof/>
          </w:rPr>
          <w:t>危害因素分析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_Toc207880758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0CD19AF8" w14:textId="5B607776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59" w:history="1">
        <w:r w:rsidRPr="00D00406">
          <w:rPr>
            <w:rStyle w:val="affffd"/>
            <w:rFonts w:ascii="Times New Roman"/>
            <w:noProof/>
          </w:rPr>
          <w:t xml:space="preserve">8  </w:t>
        </w:r>
        <w:r w:rsidRPr="00D00406">
          <w:rPr>
            <w:rStyle w:val="affffd"/>
            <w:rFonts w:ascii="Times New Roman"/>
            <w:noProof/>
          </w:rPr>
          <w:t>定性定量评价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_Toc207880759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6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6032D869" w14:textId="3DCB3FA2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60" w:history="1">
        <w:r w:rsidRPr="00D00406">
          <w:rPr>
            <w:rStyle w:val="affffd"/>
            <w:rFonts w:ascii="Times New Roman"/>
            <w:noProof/>
          </w:rPr>
          <w:t xml:space="preserve">9  </w:t>
        </w:r>
        <w:r w:rsidRPr="00D00406">
          <w:rPr>
            <w:rStyle w:val="affffd"/>
            <w:rFonts w:ascii="Times New Roman"/>
            <w:noProof/>
          </w:rPr>
          <w:t>安全对策措施建议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_Toc207880760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8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19A51674" w14:textId="0BA9C3ED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61" w:history="1">
        <w:r w:rsidRPr="00D00406">
          <w:rPr>
            <w:rStyle w:val="affffd"/>
            <w:rFonts w:ascii="Times New Roman"/>
            <w:noProof/>
          </w:rPr>
          <w:t xml:space="preserve">10  </w:t>
        </w:r>
        <w:r w:rsidRPr="00D00406">
          <w:rPr>
            <w:rStyle w:val="affffd"/>
            <w:rFonts w:ascii="Times New Roman"/>
            <w:noProof/>
          </w:rPr>
          <w:t>现场复核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_Toc207880761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8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6D5B1F9A" w14:textId="2050D536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62" w:history="1">
        <w:r w:rsidRPr="00D00406">
          <w:rPr>
            <w:rStyle w:val="affffd"/>
            <w:rFonts w:ascii="Times New Roman"/>
            <w:noProof/>
          </w:rPr>
          <w:t xml:space="preserve">11  </w:t>
        </w:r>
        <w:r w:rsidRPr="00D00406">
          <w:rPr>
            <w:rStyle w:val="affffd"/>
            <w:rFonts w:ascii="Times New Roman"/>
            <w:noProof/>
          </w:rPr>
          <w:t>评价结果综述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_Toc207880762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8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5BD85160" w14:textId="025E0507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63" w:history="1">
        <w:r w:rsidRPr="00D00406">
          <w:rPr>
            <w:rStyle w:val="affffd"/>
            <w:rFonts w:ascii="Times New Roman"/>
            <w:noProof/>
          </w:rPr>
          <w:t xml:space="preserve">12  </w:t>
        </w:r>
        <w:r w:rsidRPr="00D00406">
          <w:rPr>
            <w:rStyle w:val="affffd"/>
            <w:rFonts w:ascii="Times New Roman"/>
            <w:noProof/>
          </w:rPr>
          <w:t>报告编制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_Toc207880763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9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14B6C896" w14:textId="7BA1AC62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64" w:history="1">
        <w:r w:rsidRPr="00D00406">
          <w:rPr>
            <w:rStyle w:val="affffd"/>
            <w:rFonts w:ascii="Times New Roman"/>
            <w:noProof/>
          </w:rPr>
          <w:t>附录</w:t>
        </w:r>
        <w:r w:rsidRPr="00D00406">
          <w:rPr>
            <w:rStyle w:val="affffd"/>
            <w:rFonts w:ascii="Times New Roman"/>
            <w:noProof/>
          </w:rPr>
          <w:t>A</w:t>
        </w:r>
        <w:r w:rsidRPr="00D00406">
          <w:rPr>
            <w:rStyle w:val="affffd"/>
            <w:rFonts w:ascii="Times New Roman"/>
            <w:noProof/>
          </w:rPr>
          <w:t>（资料性）</w:t>
        </w:r>
        <w:r w:rsidRPr="00D00406">
          <w:rPr>
            <w:rStyle w:val="affffd"/>
            <w:rFonts w:ascii="Times New Roman"/>
            <w:noProof/>
          </w:rPr>
          <w:t xml:space="preserve">  </w:t>
        </w:r>
        <w:r w:rsidRPr="00D00406">
          <w:rPr>
            <w:rStyle w:val="affffd"/>
            <w:rFonts w:ascii="Times New Roman"/>
            <w:noProof/>
          </w:rPr>
          <w:t>风险点划分原则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_Toc207880764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10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4339EDDF" w14:textId="4F8B2D54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65" w:history="1">
        <w:r w:rsidRPr="00D00406">
          <w:rPr>
            <w:rStyle w:val="affffd"/>
            <w:rFonts w:ascii="Times New Roman"/>
            <w:noProof/>
          </w:rPr>
          <w:t>附录</w:t>
        </w:r>
        <w:r w:rsidRPr="00D00406">
          <w:rPr>
            <w:rStyle w:val="affffd"/>
            <w:rFonts w:ascii="Times New Roman"/>
            <w:noProof/>
          </w:rPr>
          <w:t>B</w:t>
        </w:r>
        <w:r w:rsidRPr="00D00406">
          <w:rPr>
            <w:rStyle w:val="affffd"/>
            <w:rFonts w:ascii="Times New Roman"/>
            <w:noProof/>
          </w:rPr>
          <w:t>（资料性）</w:t>
        </w:r>
        <w:r w:rsidRPr="00D00406">
          <w:rPr>
            <w:rStyle w:val="affffd"/>
            <w:rFonts w:ascii="Times New Roman"/>
            <w:noProof/>
          </w:rPr>
          <w:t xml:space="preserve">  </w:t>
        </w:r>
        <w:r w:rsidRPr="00D00406">
          <w:rPr>
            <w:rStyle w:val="affffd"/>
            <w:rFonts w:ascii="Times New Roman"/>
            <w:noProof/>
          </w:rPr>
          <w:t>作业条件危险性分析法评价准则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_Toc207880765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11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20675383" w14:textId="00C261E2" w:rsidR="00D00406" w:rsidRPr="00D00406" w:rsidRDefault="00D00406">
      <w:pPr>
        <w:pStyle w:val="TOC1"/>
        <w:tabs>
          <w:tab w:val="right" w:leader="dot" w:pos="9344"/>
        </w:tabs>
        <w:rPr>
          <w:rFonts w:ascii="Times New Roman" w:eastAsiaTheme="minorEastAsia" w:hAnsi="Times New Roman"/>
          <w:noProof/>
          <w:sz w:val="22"/>
          <w:szCs w:val="24"/>
          <w14:ligatures w14:val="standardContextual"/>
        </w:rPr>
      </w:pPr>
      <w:hyperlink w:anchor="_Toc207880766" w:history="1">
        <w:r w:rsidRPr="00D00406">
          <w:rPr>
            <w:rStyle w:val="affffd"/>
            <w:rFonts w:ascii="Times New Roman"/>
            <w:noProof/>
          </w:rPr>
          <w:t>附录</w:t>
        </w:r>
        <w:r w:rsidRPr="00D00406">
          <w:rPr>
            <w:rStyle w:val="affffd"/>
            <w:rFonts w:ascii="Times New Roman"/>
            <w:noProof/>
          </w:rPr>
          <w:t>C</w:t>
        </w:r>
        <w:r w:rsidRPr="00D00406">
          <w:rPr>
            <w:rStyle w:val="affffd"/>
            <w:rFonts w:ascii="Times New Roman"/>
            <w:noProof/>
          </w:rPr>
          <w:t>（资料性）</w:t>
        </w:r>
        <w:r w:rsidRPr="00D00406">
          <w:rPr>
            <w:rStyle w:val="affffd"/>
            <w:rFonts w:ascii="Times New Roman"/>
            <w:noProof/>
          </w:rPr>
          <w:t xml:space="preserve">  </w:t>
        </w:r>
        <w:r w:rsidRPr="00D00406">
          <w:rPr>
            <w:rStyle w:val="affffd"/>
            <w:rFonts w:ascii="Times New Roman"/>
            <w:noProof/>
          </w:rPr>
          <w:t>风险矩阵法评价准则</w:t>
        </w:r>
        <w:r w:rsidRPr="00D00406">
          <w:rPr>
            <w:rFonts w:ascii="Times New Roman" w:hAnsi="Times New Roman"/>
            <w:noProof/>
          </w:rPr>
          <w:tab/>
        </w:r>
        <w:r w:rsidRPr="00D00406">
          <w:rPr>
            <w:rFonts w:ascii="Times New Roman" w:hAnsi="Times New Roman"/>
            <w:noProof/>
          </w:rPr>
          <w:fldChar w:fldCharType="begin"/>
        </w:r>
        <w:r w:rsidRPr="00D00406">
          <w:rPr>
            <w:rFonts w:ascii="Times New Roman" w:hAnsi="Times New Roman"/>
            <w:noProof/>
          </w:rPr>
          <w:instrText xml:space="preserve"> PAGEREF _Toc207880766 \h </w:instrText>
        </w:r>
        <w:r w:rsidRPr="00D00406">
          <w:rPr>
            <w:rFonts w:ascii="Times New Roman" w:hAnsi="Times New Roman"/>
            <w:noProof/>
          </w:rPr>
        </w:r>
        <w:r w:rsidRPr="00D00406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14</w:t>
        </w:r>
        <w:r w:rsidRPr="00D00406">
          <w:rPr>
            <w:rFonts w:ascii="Times New Roman" w:hAnsi="Times New Roman"/>
            <w:noProof/>
          </w:rPr>
          <w:fldChar w:fldCharType="end"/>
        </w:r>
      </w:hyperlink>
    </w:p>
    <w:p w14:paraId="63DCD570" w14:textId="36FB97B7" w:rsidR="00D00406" w:rsidRPr="00D00406" w:rsidRDefault="00D00406" w:rsidP="00D00406">
      <w:pPr>
        <w:pStyle w:val="affffffc"/>
        <w:spacing w:after="468"/>
        <w:rPr>
          <w:rFonts w:hint="eastAsia"/>
        </w:rPr>
        <w:sectPr w:rsidR="00D00406" w:rsidRPr="00D00406" w:rsidSect="00D00406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928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 w:rsidRPr="00D00406">
        <w:rPr>
          <w:rFonts w:ascii="Times New Roman" w:hAnsi="Times New Roman"/>
        </w:rPr>
        <w:fldChar w:fldCharType="end"/>
      </w:r>
    </w:p>
    <w:p w14:paraId="12198158" w14:textId="77777777" w:rsidR="00F862B4" w:rsidRDefault="00F862B4">
      <w:pPr>
        <w:rPr>
          <w:rFonts w:ascii="宋体" w:hAnsi="宋体" w:cs="宋体" w:hint="eastAsia"/>
        </w:rPr>
      </w:pPr>
      <w:bookmarkStart w:id="6" w:name="BookMark2"/>
      <w:bookmarkEnd w:id="5"/>
    </w:p>
    <w:p w14:paraId="12198159" w14:textId="77777777" w:rsidR="00F862B4" w:rsidRDefault="00000000" w:rsidP="00B55F56">
      <w:pPr>
        <w:pStyle w:val="a6"/>
      </w:pPr>
      <w:bookmarkStart w:id="7" w:name="_Toc7849"/>
      <w:bookmarkStart w:id="8" w:name="_Toc207880750"/>
      <w:r>
        <w:rPr>
          <w:spacing w:val="320"/>
        </w:rPr>
        <w:t>前</w:t>
      </w:r>
      <w:r>
        <w:t>言</w:t>
      </w:r>
      <w:bookmarkEnd w:id="7"/>
      <w:bookmarkEnd w:id="8"/>
    </w:p>
    <w:p w14:paraId="2DA892CB" w14:textId="77777777" w:rsidR="00167465" w:rsidRPr="00167465" w:rsidRDefault="00167465" w:rsidP="00167465">
      <w:pPr>
        <w:spacing w:line="360" w:lineRule="auto"/>
        <w:ind w:firstLineChars="200" w:firstLine="420"/>
        <w:rPr>
          <w:rFonts w:ascii="宋体" w:hAnsi="宋体" w:cs="宋体" w:hint="eastAsia"/>
        </w:rPr>
      </w:pPr>
      <w:r w:rsidRPr="00167465">
        <w:rPr>
          <w:rFonts w:ascii="宋体" w:hAnsi="宋体" w:cs="宋体" w:hint="eastAsia"/>
        </w:rPr>
        <w:t>本文件按</w:t>
      </w:r>
      <w:r w:rsidRPr="00167465">
        <w:rPr>
          <w:rFonts w:ascii="Times New Roman" w:hAnsi="Times New Roman"/>
        </w:rPr>
        <w:t>照</w:t>
      </w:r>
      <w:r w:rsidRPr="00167465">
        <w:rPr>
          <w:rFonts w:ascii="Times New Roman" w:hAnsi="Times New Roman"/>
        </w:rPr>
        <w:t>GB/T 1.1—2020</w:t>
      </w:r>
      <w:r w:rsidRPr="00167465">
        <w:rPr>
          <w:rFonts w:ascii="Times New Roman" w:hAnsi="Times New Roman"/>
        </w:rPr>
        <w:t>《</w:t>
      </w:r>
      <w:proofErr w:type="gramStart"/>
      <w:r w:rsidRPr="00167465">
        <w:rPr>
          <w:rFonts w:ascii="Times New Roman" w:hAnsi="Times New Roman"/>
        </w:rPr>
        <w:t>标准化工作导则</w:t>
      </w:r>
      <w:r w:rsidRPr="00167465">
        <w:rPr>
          <w:rFonts w:ascii="Times New Roman" w:hAnsi="Times New Roman"/>
        </w:rPr>
        <w:t xml:space="preserve">  </w:t>
      </w:r>
      <w:r w:rsidRPr="00167465">
        <w:rPr>
          <w:rFonts w:ascii="Times New Roman" w:hAnsi="Times New Roman"/>
        </w:rPr>
        <w:t>第</w:t>
      </w:r>
      <w:proofErr w:type="gramEnd"/>
      <w:r w:rsidRPr="00167465">
        <w:rPr>
          <w:rFonts w:ascii="Times New Roman" w:hAnsi="Times New Roman"/>
        </w:rPr>
        <w:t>1</w:t>
      </w:r>
      <w:r w:rsidRPr="00167465">
        <w:rPr>
          <w:rFonts w:ascii="Times New Roman" w:hAnsi="Times New Roman"/>
        </w:rPr>
        <w:t>部分</w:t>
      </w:r>
      <w:r w:rsidRPr="00167465">
        <w:rPr>
          <w:rFonts w:ascii="宋体" w:hAnsi="宋体" w:cs="宋体" w:hint="eastAsia"/>
        </w:rPr>
        <w:t>：标准化文件的结构和起草规则》的规定起草。</w:t>
      </w:r>
    </w:p>
    <w:p w14:paraId="26D3E6C0" w14:textId="37144266" w:rsidR="00167465" w:rsidRDefault="00167465" w:rsidP="00167465">
      <w:pPr>
        <w:spacing w:line="360" w:lineRule="auto"/>
        <w:ind w:firstLineChars="200" w:firstLine="420"/>
        <w:rPr>
          <w:rFonts w:ascii="宋体" w:hAnsi="宋体" w:cs="宋体" w:hint="eastAsia"/>
        </w:rPr>
      </w:pPr>
      <w:r w:rsidRPr="00167465">
        <w:rPr>
          <w:rFonts w:ascii="宋体" w:hAnsi="宋体" w:cs="宋体" w:hint="eastAsia"/>
        </w:rPr>
        <w:t>请注意本文件的某些内容可能涉及专利。本文件的发布机构不承担识别专利的责任。</w:t>
      </w:r>
    </w:p>
    <w:p w14:paraId="12198160" w14:textId="08C413A0" w:rsidR="00F862B4" w:rsidRDefault="00000000">
      <w:pPr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本规范由</w:t>
      </w:r>
      <w:r w:rsidR="00600DBA" w:rsidRPr="00600DBA">
        <w:rPr>
          <w:rFonts w:ascii="宋体" w:hAnsi="宋体" w:cs="宋体" w:hint="eastAsia"/>
        </w:rPr>
        <w:t>宁波华东安全科技有限公司、宁波市应急管理局、浙江省应急管理科学研究院</w:t>
      </w:r>
      <w:r>
        <w:rPr>
          <w:rFonts w:ascii="宋体" w:hAnsi="宋体" w:cs="宋体" w:hint="eastAsia"/>
        </w:rPr>
        <w:t>提出。</w:t>
      </w:r>
    </w:p>
    <w:p w14:paraId="5FDDBB02" w14:textId="19B307E5" w:rsidR="00600DBA" w:rsidRPr="00600DBA" w:rsidRDefault="001050CE">
      <w:pPr>
        <w:spacing w:line="360" w:lineRule="auto"/>
        <w:ind w:firstLineChars="200" w:firstLine="420"/>
        <w:rPr>
          <w:rFonts w:ascii="宋体" w:hAnsi="宋体" w:cs="宋体" w:hint="eastAsia"/>
        </w:rPr>
      </w:pPr>
      <w:r w:rsidRPr="001050CE">
        <w:rPr>
          <w:rFonts w:ascii="宋体" w:hAnsi="宋体" w:cs="宋体" w:hint="eastAsia"/>
        </w:rPr>
        <w:t>本文件由浙江省安全生产协会安全评价专业委员会归口。</w:t>
      </w:r>
    </w:p>
    <w:p w14:paraId="12198161" w14:textId="77777777" w:rsidR="00F862B4" w:rsidRDefault="00000000">
      <w:pPr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本规范起草单位为：宁波华东安全科技有限公司、宁波市应急管理局、浙江省应急管理科学研究院、宁波工程学院。</w:t>
      </w:r>
    </w:p>
    <w:p w14:paraId="12198162" w14:textId="31CCAA80" w:rsidR="00F862B4" w:rsidRPr="00016FA0" w:rsidRDefault="00000000">
      <w:pPr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本规范主要</w:t>
      </w:r>
      <w:proofErr w:type="gramStart"/>
      <w:r>
        <w:rPr>
          <w:rFonts w:ascii="宋体" w:hAnsi="宋体" w:cs="宋体" w:hint="eastAsia"/>
        </w:rPr>
        <w:t>起草人</w:t>
      </w:r>
      <w:r w:rsidR="00016FA0">
        <w:rPr>
          <w:rFonts w:ascii="宋体" w:hAnsi="宋体" w:cs="宋体" w:hint="eastAsia"/>
        </w:rPr>
        <w:t>:</w:t>
      </w:r>
      <w:proofErr w:type="gramEnd"/>
      <w:r w:rsidR="00016FA0">
        <w:rPr>
          <w:rFonts w:ascii="宋体" w:hAnsi="宋体" w:cs="宋体"/>
        </w:rPr>
        <w:t>……</w:t>
      </w:r>
    </w:p>
    <w:p w14:paraId="12198163" w14:textId="77777777" w:rsidR="00F862B4" w:rsidRDefault="00000000">
      <w:pPr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本规范为首次发布。</w:t>
      </w:r>
    </w:p>
    <w:p w14:paraId="12198164" w14:textId="77777777" w:rsidR="00F862B4" w:rsidRDefault="00F862B4">
      <w:pPr>
        <w:pStyle w:val="afffff7"/>
        <w:ind w:firstLine="420"/>
        <w:sectPr w:rsidR="00F862B4" w:rsidSect="00D00406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1928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14:paraId="6AA196CA" w14:textId="77777777" w:rsidR="00B55F56" w:rsidRDefault="00B55F56" w:rsidP="00B55F56">
      <w:pPr>
        <w:pStyle w:val="a6"/>
      </w:pPr>
      <w:bookmarkStart w:id="9" w:name="BookMark3"/>
      <w:bookmarkStart w:id="10" w:name="_Toc207880751"/>
      <w:bookmarkEnd w:id="6"/>
      <w:r w:rsidRPr="00B55F56">
        <w:rPr>
          <w:rFonts w:hint="eastAsia"/>
          <w:spacing w:val="320"/>
        </w:rPr>
        <w:lastRenderedPageBreak/>
        <w:t>引</w:t>
      </w:r>
      <w:r>
        <w:rPr>
          <w:rFonts w:hint="eastAsia"/>
        </w:rPr>
        <w:t>言</w:t>
      </w:r>
      <w:bookmarkEnd w:id="10"/>
    </w:p>
    <w:p w14:paraId="4967F131" w14:textId="77777777" w:rsidR="00B55F56" w:rsidRDefault="00B55F56" w:rsidP="00B55F56">
      <w:pPr>
        <w:pStyle w:val="afffff7"/>
        <w:ind w:firstLine="420"/>
      </w:pPr>
      <w:r>
        <w:rPr>
          <w:rFonts w:hint="eastAsia"/>
        </w:rPr>
        <w:t>本规范</w:t>
      </w:r>
      <w:r w:rsidRPr="00016FA0">
        <w:rPr>
          <w:rFonts w:ascii="Times New Roman"/>
        </w:rPr>
        <w:t>在《安全评价通则》（</w:t>
      </w:r>
      <w:r w:rsidRPr="00016FA0">
        <w:rPr>
          <w:rFonts w:ascii="Times New Roman"/>
        </w:rPr>
        <w:t>AQ8001</w:t>
      </w:r>
      <w:r w:rsidRPr="00016FA0">
        <w:rPr>
          <w:rFonts w:ascii="Times New Roman"/>
        </w:rPr>
        <w:t>）框架</w:t>
      </w:r>
      <w:r>
        <w:rPr>
          <w:rFonts w:hint="eastAsia"/>
        </w:rPr>
        <w:t>下制定，目的是回归风险评价本源，通过安全评价，提升涂装企业本质安全程度和安全风险管控水平，将安全评价工作全面融入新时代的安全生产和应急管理事业中。本规范的主要创新点有：</w:t>
      </w:r>
    </w:p>
    <w:p w14:paraId="339CC7A2" w14:textId="77777777" w:rsidR="00B55F56" w:rsidRPr="00016FA0" w:rsidRDefault="00B55F56" w:rsidP="00B55F56">
      <w:pPr>
        <w:pStyle w:val="afffff7"/>
        <w:ind w:firstLine="420"/>
        <w:rPr>
          <w:rFonts w:ascii="Times New Roman"/>
        </w:rPr>
      </w:pPr>
      <w:r w:rsidRPr="00016FA0">
        <w:rPr>
          <w:rFonts w:ascii="Times New Roman"/>
        </w:rPr>
        <w:t>a</w:t>
      </w:r>
      <w:r w:rsidRPr="00016FA0">
        <w:rPr>
          <w:rFonts w:ascii="Times New Roman"/>
        </w:rPr>
        <w:t>）引入风险点概念，减少和避免安全评价报告中的疏漏；</w:t>
      </w:r>
    </w:p>
    <w:p w14:paraId="20A35BBC" w14:textId="77777777" w:rsidR="00B55F56" w:rsidRPr="00016FA0" w:rsidRDefault="00B55F56" w:rsidP="00B55F56">
      <w:pPr>
        <w:pStyle w:val="afffff7"/>
        <w:ind w:firstLine="420"/>
        <w:rPr>
          <w:rFonts w:ascii="Times New Roman"/>
        </w:rPr>
      </w:pPr>
      <w:r w:rsidRPr="00016FA0">
        <w:rPr>
          <w:rFonts w:ascii="Times New Roman"/>
        </w:rPr>
        <w:t>b</w:t>
      </w:r>
      <w:r w:rsidRPr="00016FA0">
        <w:rPr>
          <w:rFonts w:ascii="Times New Roman"/>
        </w:rPr>
        <w:t>）从危险源失控和后果出现两方面进行诱因分析，提升危险源分析全面性和针对性；</w:t>
      </w:r>
    </w:p>
    <w:p w14:paraId="3602F285" w14:textId="77777777" w:rsidR="00B55F56" w:rsidRPr="00016FA0" w:rsidRDefault="00B55F56" w:rsidP="00B55F56">
      <w:pPr>
        <w:pStyle w:val="afffff7"/>
        <w:ind w:firstLine="420"/>
        <w:rPr>
          <w:rFonts w:ascii="Times New Roman"/>
        </w:rPr>
      </w:pPr>
      <w:r w:rsidRPr="00016FA0">
        <w:rPr>
          <w:rFonts w:ascii="Times New Roman"/>
        </w:rPr>
        <w:t>c</w:t>
      </w:r>
      <w:r w:rsidRPr="00016FA0">
        <w:rPr>
          <w:rFonts w:ascii="Times New Roman"/>
        </w:rPr>
        <w:t>）引入固有风险概念，突出企业安全风险管控的重点；</w:t>
      </w:r>
    </w:p>
    <w:p w14:paraId="2A1EAD23" w14:textId="77777777" w:rsidR="00B55F56" w:rsidRPr="00016FA0" w:rsidRDefault="00B55F56" w:rsidP="00B55F56">
      <w:pPr>
        <w:pStyle w:val="afffff7"/>
        <w:ind w:firstLine="420"/>
        <w:rPr>
          <w:rFonts w:ascii="Times New Roman"/>
        </w:rPr>
      </w:pPr>
      <w:r w:rsidRPr="00016FA0">
        <w:rPr>
          <w:rFonts w:ascii="Times New Roman"/>
        </w:rPr>
        <w:t>d</w:t>
      </w:r>
      <w:r w:rsidRPr="00016FA0">
        <w:rPr>
          <w:rFonts w:ascii="Times New Roman"/>
        </w:rPr>
        <w:t>）引入控制风险和风险可接受准则概念，评价企业风险控制水平；</w:t>
      </w:r>
    </w:p>
    <w:p w14:paraId="4D2E3994" w14:textId="75E4E2DD" w:rsidR="00B55F56" w:rsidRPr="00B55F56" w:rsidRDefault="00B55F56" w:rsidP="00B55F56">
      <w:pPr>
        <w:pStyle w:val="afffff7"/>
        <w:ind w:firstLine="420"/>
      </w:pPr>
      <w:r w:rsidRPr="00016FA0">
        <w:rPr>
          <w:rFonts w:ascii="Times New Roman"/>
        </w:rPr>
        <w:t>e</w:t>
      </w:r>
      <w:r w:rsidRPr="00016FA0">
        <w:rPr>
          <w:rFonts w:ascii="Times New Roman"/>
        </w:rPr>
        <w:t>）安</w:t>
      </w:r>
      <w:r>
        <w:rPr>
          <w:rFonts w:hint="eastAsia"/>
        </w:rPr>
        <w:t>全检查表主要风险管控措施落实情况检查，使安全检查表法具有更强的针对性。</w:t>
      </w:r>
    </w:p>
    <w:p w14:paraId="7910D262" w14:textId="77777777" w:rsidR="00B55F56" w:rsidRDefault="00B55F56" w:rsidP="00B55F56">
      <w:pPr>
        <w:pStyle w:val="afffff7"/>
        <w:ind w:firstLine="420"/>
      </w:pPr>
    </w:p>
    <w:p w14:paraId="7C4A9B73" w14:textId="00301DCC" w:rsidR="00B55F56" w:rsidRPr="00B55F56" w:rsidRDefault="00B55F56" w:rsidP="00B55F56">
      <w:pPr>
        <w:pStyle w:val="afffff7"/>
        <w:ind w:firstLine="420"/>
        <w:sectPr w:rsidR="00B55F56" w:rsidRPr="00B55F56" w:rsidSect="00D00406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1928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14:paraId="12198165" w14:textId="77777777" w:rsidR="00F862B4" w:rsidRDefault="00F862B4">
      <w:pPr>
        <w:spacing w:line="20" w:lineRule="exact"/>
        <w:jc w:val="center"/>
        <w:rPr>
          <w:rFonts w:ascii="黑体" w:eastAsia="黑体" w:hAnsi="黑体" w:hint="eastAsia"/>
          <w:sz w:val="32"/>
          <w:szCs w:val="32"/>
        </w:rPr>
      </w:pPr>
      <w:bookmarkStart w:id="11" w:name="BookMark4"/>
      <w:bookmarkEnd w:id="9"/>
    </w:p>
    <w:p w14:paraId="12198166" w14:textId="77777777" w:rsidR="00F862B4" w:rsidRDefault="00F862B4">
      <w:pPr>
        <w:spacing w:line="20" w:lineRule="exact"/>
        <w:jc w:val="center"/>
        <w:rPr>
          <w:rFonts w:ascii="黑体" w:eastAsia="黑体" w:hAnsi="黑体" w:hint="eastAsia"/>
          <w:sz w:val="32"/>
          <w:szCs w:val="32"/>
        </w:rPr>
      </w:pPr>
    </w:p>
    <w:bookmarkStart w:id="12" w:name="NEW_STAND_NAME" w:displacedByCustomXml="next"/>
    <w:sdt>
      <w:sdtPr>
        <w:tag w:val="NEW_STAND_NAME"/>
        <w:id w:val="595910757"/>
        <w:lock w:val="sdtLocked"/>
        <w:placeholder>
          <w:docPart w:val="AF30E3B064BC4057BC3404502F002E02"/>
        </w:placeholder>
      </w:sdtPr>
      <w:sdtContent>
        <w:p w14:paraId="12198167" w14:textId="77777777" w:rsidR="00F862B4" w:rsidRDefault="00000000">
          <w:pPr>
            <w:pStyle w:val="afffffffffa"/>
            <w:spacing w:beforeLines="1" w:before="3" w:afterLines="220" w:after="686"/>
            <w:rPr>
              <w:rFonts w:hint="eastAsia"/>
            </w:rPr>
          </w:pPr>
          <w:r>
            <w:rPr>
              <w:rFonts w:hint="eastAsia"/>
            </w:rPr>
            <w:t>涂装企业安全现状评价导则</w:t>
          </w:r>
        </w:p>
      </w:sdtContent>
    </w:sdt>
    <w:p w14:paraId="12198168" w14:textId="77777777" w:rsidR="00F862B4" w:rsidRDefault="00000000">
      <w:pPr>
        <w:pStyle w:val="affd"/>
        <w:spacing w:before="312" w:after="312"/>
      </w:pPr>
      <w:bookmarkStart w:id="13" w:name="_Toc24884218"/>
      <w:bookmarkStart w:id="14" w:name="_Toc97191423"/>
      <w:bookmarkStart w:id="15" w:name="_Toc17233325"/>
      <w:bookmarkStart w:id="16" w:name="_Toc26718930"/>
      <w:bookmarkStart w:id="17" w:name="_Toc9695"/>
      <w:bookmarkStart w:id="18" w:name="_Toc26986771"/>
      <w:bookmarkStart w:id="19" w:name="_Toc17233333"/>
      <w:bookmarkStart w:id="20" w:name="_Toc26986530"/>
      <w:bookmarkStart w:id="21" w:name="_Toc24884211"/>
      <w:bookmarkStart w:id="22" w:name="_Toc26648465"/>
      <w:bookmarkStart w:id="23" w:name="_Toc207880752"/>
      <w:bookmarkEnd w:id="12"/>
      <w:r>
        <w:rPr>
          <w:rFonts w:hint="eastAsia"/>
        </w:rPr>
        <w:t>范围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2198169" w14:textId="77777777" w:rsidR="00F862B4" w:rsidRDefault="00000000">
      <w:pPr>
        <w:pStyle w:val="afffff7"/>
        <w:ind w:firstLine="420"/>
      </w:pPr>
      <w:bookmarkStart w:id="24" w:name="_Toc17233326"/>
      <w:bookmarkStart w:id="25" w:name="_Toc24884212"/>
      <w:bookmarkStart w:id="26" w:name="_Toc17233334"/>
      <w:bookmarkStart w:id="27" w:name="_Toc26648466"/>
      <w:bookmarkStart w:id="28" w:name="_Toc24884219"/>
      <w:r>
        <w:t>本文件规定了涂装企业安全评价的总体要求</w:t>
      </w:r>
      <w:r>
        <w:rPr>
          <w:rFonts w:hint="eastAsia"/>
        </w:rPr>
        <w:t>、前期准备、评价单元及风险点划分、危害因素分析、定性定量评价、安全对策措施建议、现场复核、评价结果综述和报告编制。</w:t>
      </w:r>
    </w:p>
    <w:p w14:paraId="1219816A" w14:textId="77777777" w:rsidR="00F862B4" w:rsidRDefault="00000000">
      <w:pPr>
        <w:pStyle w:val="afffff7"/>
        <w:ind w:firstLine="420"/>
      </w:pPr>
      <w:r>
        <w:rPr>
          <w:rFonts w:hint="eastAsia"/>
        </w:rPr>
        <w:t>本文件适用于涂装企业的安全现状评价，也适用于针对企业涂装作业过程的专项安全评价。本文件可以为使用非危险化学品涂料进行涂装作业的企业，实施安全风险评估活动提供参考。</w:t>
      </w:r>
    </w:p>
    <w:p w14:paraId="1219816B" w14:textId="77777777" w:rsidR="00F862B4" w:rsidRDefault="00000000">
      <w:pPr>
        <w:pStyle w:val="affd"/>
        <w:spacing w:before="312" w:after="312"/>
      </w:pPr>
      <w:bookmarkStart w:id="29" w:name="_Toc97191424"/>
      <w:bookmarkStart w:id="30" w:name="_Toc26718931"/>
      <w:bookmarkStart w:id="31" w:name="_Toc26986531"/>
      <w:bookmarkStart w:id="32" w:name="_Toc6650"/>
      <w:bookmarkStart w:id="33" w:name="_Toc26986772"/>
      <w:bookmarkStart w:id="34" w:name="_Toc207880753"/>
      <w:r>
        <w:rPr>
          <w:rFonts w:hint="eastAsia"/>
        </w:rPr>
        <w:t>规范性引用文件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1219816C" w14:textId="77777777" w:rsidR="00F862B4" w:rsidRDefault="00000000">
      <w:pPr>
        <w:pStyle w:val="afffff7"/>
        <w:ind w:firstLine="420"/>
      </w:pPr>
      <w:r>
        <w:rPr>
          <w:rFonts w:hint="eastAsia"/>
        </w:rPr>
        <w:t>通过文中的规范性引用而构成本文件条款的，其文件内容应在遵守本文件时得到遵守。其中，注明日期的引用文件，仅该日期对应的版本适用于本文件；不注明日期的引用文件，其最新版本（包括所有的修改单）适用于本文件。</w:t>
      </w:r>
    </w:p>
    <w:p w14:paraId="1219816D" w14:textId="77777777" w:rsidR="00F862B4" w:rsidRPr="004A7E4F" w:rsidRDefault="00000000">
      <w:pPr>
        <w:pStyle w:val="afffff7"/>
        <w:ind w:firstLine="420"/>
        <w:rPr>
          <w:rFonts w:ascii="Times New Roman"/>
        </w:rPr>
      </w:pPr>
      <w:r w:rsidRPr="004A7E4F">
        <w:rPr>
          <w:rFonts w:ascii="Times New Roman"/>
        </w:rPr>
        <w:t xml:space="preserve">AQ </w:t>
      </w:r>
      <w:proofErr w:type="gramStart"/>
      <w:r w:rsidRPr="004A7E4F">
        <w:rPr>
          <w:rFonts w:ascii="Times New Roman"/>
        </w:rPr>
        <w:t xml:space="preserve">8001  </w:t>
      </w:r>
      <w:r w:rsidRPr="004A7E4F">
        <w:rPr>
          <w:rFonts w:ascii="Times New Roman"/>
        </w:rPr>
        <w:t>安全评价通则</w:t>
      </w:r>
      <w:proofErr w:type="gramEnd"/>
    </w:p>
    <w:p w14:paraId="1219816E" w14:textId="77777777" w:rsidR="00F862B4" w:rsidRPr="004A7E4F" w:rsidRDefault="00000000">
      <w:pPr>
        <w:pStyle w:val="afffff7"/>
        <w:ind w:firstLine="420"/>
        <w:rPr>
          <w:rFonts w:ascii="Times New Roman"/>
        </w:rPr>
      </w:pPr>
      <w:r w:rsidRPr="004A7E4F">
        <w:rPr>
          <w:rFonts w:ascii="Times New Roman"/>
        </w:rPr>
        <w:t xml:space="preserve">GB/T </w:t>
      </w:r>
      <w:proofErr w:type="gramStart"/>
      <w:r w:rsidRPr="004A7E4F">
        <w:rPr>
          <w:rFonts w:ascii="Times New Roman"/>
        </w:rPr>
        <w:t xml:space="preserve">23694 </w:t>
      </w:r>
      <w:r w:rsidRPr="004A7E4F">
        <w:rPr>
          <w:rFonts w:ascii="Times New Roman"/>
        </w:rPr>
        <w:t>风险管理</w:t>
      </w:r>
      <w:r w:rsidRPr="004A7E4F">
        <w:rPr>
          <w:rFonts w:ascii="Times New Roman"/>
        </w:rPr>
        <w:t xml:space="preserve"> </w:t>
      </w:r>
      <w:r w:rsidRPr="004A7E4F">
        <w:rPr>
          <w:rFonts w:ascii="Times New Roman"/>
        </w:rPr>
        <w:t>术语</w:t>
      </w:r>
      <w:proofErr w:type="gramEnd"/>
    </w:p>
    <w:p w14:paraId="1219816F" w14:textId="77777777" w:rsidR="00F862B4" w:rsidRDefault="00000000">
      <w:pPr>
        <w:pStyle w:val="afffff7"/>
        <w:ind w:firstLine="420"/>
        <w:rPr>
          <w:rFonts w:hAnsi="宋体" w:cs="宋体" w:hint="eastAsia"/>
        </w:rPr>
      </w:pPr>
      <w:r w:rsidRPr="004A7E4F">
        <w:rPr>
          <w:rFonts w:ascii="Times New Roman"/>
        </w:rPr>
        <w:t xml:space="preserve">GB/T </w:t>
      </w:r>
      <w:proofErr w:type="gramStart"/>
      <w:r w:rsidRPr="004A7E4F">
        <w:rPr>
          <w:rFonts w:ascii="Times New Roman"/>
        </w:rPr>
        <w:t xml:space="preserve">14441 </w:t>
      </w:r>
      <w:r w:rsidRPr="004A7E4F">
        <w:rPr>
          <w:rFonts w:ascii="Times New Roman"/>
        </w:rPr>
        <w:t>涂</w:t>
      </w:r>
      <w:proofErr w:type="gramEnd"/>
      <w:r w:rsidRPr="004A7E4F">
        <w:rPr>
          <w:rFonts w:ascii="Times New Roman"/>
        </w:rPr>
        <w:t>装作业</w:t>
      </w:r>
      <w:r>
        <w:rPr>
          <w:rFonts w:hAnsi="宋体" w:cs="宋体" w:hint="eastAsia"/>
        </w:rPr>
        <w:t>安全</w:t>
      </w:r>
      <w:proofErr w:type="gramStart"/>
      <w:r>
        <w:rPr>
          <w:rFonts w:hAnsi="宋体" w:cs="宋体" w:hint="eastAsia"/>
        </w:rPr>
        <w:t>规程 术语</w:t>
      </w:r>
      <w:proofErr w:type="gramEnd"/>
    </w:p>
    <w:p w14:paraId="12198170" w14:textId="77777777" w:rsidR="00F862B4" w:rsidRDefault="00000000">
      <w:pPr>
        <w:pStyle w:val="affd"/>
        <w:spacing w:before="312" w:after="312"/>
      </w:pPr>
      <w:bookmarkStart w:id="35" w:name="_Toc16932"/>
      <w:bookmarkStart w:id="36" w:name="_Toc97191425"/>
      <w:bookmarkStart w:id="37" w:name="_Toc207880754"/>
      <w:r>
        <w:rPr>
          <w:rFonts w:hint="eastAsia"/>
        </w:rPr>
        <w:t>术语和定义</w:t>
      </w:r>
      <w:bookmarkEnd w:id="35"/>
      <w:bookmarkEnd w:id="36"/>
      <w:bookmarkEnd w:id="37"/>
    </w:p>
    <w:bookmarkStart w:id="38" w:name="_Toc26986532" w:displacedByCustomXml="next"/>
    <w:bookmarkEnd w:id="38" w:displacedByCustomXml="next"/>
    <w:sdt>
      <w:sdtPr>
        <w:rPr>
          <w:rFonts w:ascii="Times New Roman"/>
        </w:rPr>
        <w:id w:val="-1"/>
        <w:placeholder>
          <w:docPart w:val="203009CAC06041108F48998C4640D96A"/>
        </w:placeholder>
        <w:comboBox>
          <w:listItem w:displayText="请选择适当的引导语" w:value="请选择适当的引导语"/>
          <w:listItem w:displayText="下列术语和定义适用于本文件。" w:value="下列术语和定义适用于本文件。"/>
          <w:listItem w:displayText="……界定的术语和定义适用于本文件。" w:value="……界定的术语和定义适用于本文件。"/>
          <w:listItem w:displayText="……界定的以及下列术语和定义适用于本文件。" w:value="……界定的以及下列术语和定义适用于本文件。"/>
          <w:listItem w:displayText="本文件没有需要界定的术语和定义。" w:value="本文件没有需要界定的术语和定义。"/>
        </w:comboBox>
      </w:sdtPr>
      <w:sdtContent>
        <w:p w14:paraId="12198172" w14:textId="085D65DF" w:rsidR="00F862B4" w:rsidRDefault="00000000" w:rsidP="00016FA0">
          <w:pPr>
            <w:pStyle w:val="afffff7"/>
            <w:ind w:firstLine="420"/>
            <w:rPr>
              <w:rFonts w:hAnsi="宋体" w:cs="宋体" w:hint="eastAsia"/>
            </w:rPr>
          </w:pPr>
          <w:r w:rsidRPr="004A7E4F">
            <w:rPr>
              <w:rFonts w:ascii="Times New Roman"/>
            </w:rPr>
            <w:t>GB/T 23694</w:t>
          </w:r>
          <w:r w:rsidRPr="004A7E4F">
            <w:rPr>
              <w:rFonts w:ascii="Times New Roman"/>
            </w:rPr>
            <w:t>、</w:t>
          </w:r>
          <w:r w:rsidRPr="004A7E4F">
            <w:rPr>
              <w:rFonts w:ascii="Times New Roman"/>
            </w:rPr>
            <w:t>GB/T 14441</w:t>
          </w:r>
          <w:r w:rsidRPr="004A7E4F">
            <w:rPr>
              <w:rFonts w:ascii="Times New Roman"/>
            </w:rPr>
            <w:t>、</w:t>
          </w:r>
          <w:r w:rsidRPr="004A7E4F">
            <w:rPr>
              <w:rFonts w:ascii="Times New Roman"/>
            </w:rPr>
            <w:t>AQ 8001</w:t>
          </w:r>
          <w:r w:rsidRPr="004A7E4F">
            <w:rPr>
              <w:rFonts w:ascii="Times New Roman"/>
            </w:rPr>
            <w:t>界定</w:t>
          </w:r>
          <w:r w:rsidR="004A7E4F" w:rsidRPr="004A7E4F">
            <w:rPr>
              <w:rFonts w:ascii="Times New Roman"/>
            </w:rPr>
            <w:t>的，</w:t>
          </w:r>
          <w:r w:rsidRPr="004A7E4F">
            <w:rPr>
              <w:rFonts w:ascii="Times New Roman"/>
            </w:rPr>
            <w:t>以及下列术语和定义适用于本文件。</w:t>
          </w:r>
        </w:p>
      </w:sdtContent>
    </w:sdt>
    <w:p w14:paraId="12198173" w14:textId="38A60725" w:rsidR="00F862B4" w:rsidRPr="00563021" w:rsidRDefault="00563021" w:rsidP="00563021">
      <w:pPr>
        <w:pStyle w:val="afffffffffff6"/>
        <w:ind w:left="420" w:hangingChars="200" w:hanging="420"/>
        <w:rPr>
          <w:rFonts w:ascii="黑体" w:eastAsia="黑体" w:hAnsi="黑体" w:hint="eastAsia"/>
        </w:rPr>
      </w:pPr>
      <w:bookmarkStart w:id="39" w:name="_Toc5927"/>
      <w:r w:rsidRPr="00563021">
        <w:rPr>
          <w:rFonts w:ascii="黑体" w:eastAsia="黑体" w:hAnsi="黑体"/>
        </w:rPr>
        <w:br/>
      </w:r>
      <w:r w:rsidRPr="00563021">
        <w:rPr>
          <w:rFonts w:ascii="黑体" w:eastAsia="黑体" w:hAnsi="黑体" w:hint="eastAsia"/>
        </w:rPr>
        <w:t>涂装作业</w:t>
      </w:r>
      <w:bookmarkEnd w:id="39"/>
    </w:p>
    <w:p w14:paraId="12198174" w14:textId="77777777" w:rsidR="00F862B4" w:rsidRDefault="00000000">
      <w:pPr>
        <w:pStyle w:val="afffff7"/>
        <w:ind w:firstLine="420"/>
      </w:pPr>
      <w:r>
        <w:rPr>
          <w:rFonts w:hint="eastAsia"/>
        </w:rPr>
        <w:t>为实现涂料在金属或非金属表面的涂覆而进行的生产作业活动。</w:t>
      </w:r>
    </w:p>
    <w:p w14:paraId="12198175" w14:textId="36AACED1" w:rsidR="00F862B4" w:rsidRPr="00563021" w:rsidRDefault="00563021" w:rsidP="00563021">
      <w:pPr>
        <w:pStyle w:val="afffffffffff6"/>
        <w:ind w:left="420" w:hangingChars="200" w:hanging="420"/>
        <w:rPr>
          <w:rFonts w:ascii="黑体" w:eastAsia="黑体" w:hAnsi="黑体" w:hint="eastAsia"/>
        </w:rPr>
      </w:pPr>
      <w:bookmarkStart w:id="40" w:name="_Toc24265"/>
      <w:r w:rsidRPr="00563021">
        <w:rPr>
          <w:rFonts w:ascii="黑体" w:eastAsia="黑体" w:hAnsi="黑体"/>
        </w:rPr>
        <w:br/>
      </w:r>
      <w:r w:rsidRPr="00563021">
        <w:rPr>
          <w:rFonts w:ascii="黑体" w:eastAsia="黑体" w:hAnsi="黑体" w:hint="eastAsia"/>
        </w:rPr>
        <w:t>涂装企业</w:t>
      </w:r>
      <w:bookmarkEnd w:id="40"/>
    </w:p>
    <w:p w14:paraId="12198176" w14:textId="77777777" w:rsidR="00F862B4" w:rsidRDefault="00000000">
      <w:pPr>
        <w:pStyle w:val="afffff7"/>
        <w:ind w:firstLine="420"/>
      </w:pPr>
      <w:r>
        <w:rPr>
          <w:rFonts w:hint="eastAsia"/>
        </w:rPr>
        <w:t>生产过程涉及涂装作业的生产加工型企业。</w:t>
      </w:r>
    </w:p>
    <w:p w14:paraId="12198177" w14:textId="78FBE49A" w:rsidR="00F862B4" w:rsidRPr="00563021" w:rsidRDefault="00563021" w:rsidP="00563021">
      <w:pPr>
        <w:pStyle w:val="afffffffffff6"/>
        <w:ind w:left="420" w:hangingChars="200" w:hanging="420"/>
        <w:rPr>
          <w:rFonts w:ascii="黑体" w:eastAsia="黑体" w:hAnsi="黑体" w:hint="eastAsia"/>
        </w:rPr>
      </w:pPr>
      <w:bookmarkStart w:id="41" w:name="_Toc26197"/>
      <w:r w:rsidRPr="00563021">
        <w:rPr>
          <w:rFonts w:ascii="黑体" w:eastAsia="黑体" w:hAnsi="黑体"/>
        </w:rPr>
        <w:br/>
      </w:r>
      <w:r w:rsidRPr="00563021">
        <w:rPr>
          <w:rFonts w:ascii="黑体" w:eastAsia="黑体" w:hAnsi="黑体" w:hint="eastAsia"/>
        </w:rPr>
        <w:t>风险点</w:t>
      </w:r>
      <w:bookmarkEnd w:id="41"/>
    </w:p>
    <w:p w14:paraId="12198178" w14:textId="77777777" w:rsidR="00F862B4" w:rsidRDefault="00000000">
      <w:pPr>
        <w:pStyle w:val="afffff7"/>
        <w:ind w:firstLine="420"/>
      </w:pPr>
      <w:r>
        <w:rPr>
          <w:rFonts w:hint="eastAsia"/>
        </w:rPr>
        <w:t>蕴含能量或危险物质的设施、部位、场所或工艺过程，以及在设施、部位和场所实施的伴随风险的作业活动，或以上两者的组合。</w:t>
      </w:r>
    </w:p>
    <w:p w14:paraId="12198179" w14:textId="4DE4F54A" w:rsidR="00F862B4" w:rsidRPr="00563021" w:rsidRDefault="00563021" w:rsidP="00563021">
      <w:pPr>
        <w:pStyle w:val="afffffffffff6"/>
        <w:ind w:left="420" w:hangingChars="200" w:hanging="420"/>
        <w:rPr>
          <w:rFonts w:ascii="黑体" w:eastAsia="黑体" w:hAnsi="黑体" w:hint="eastAsia"/>
        </w:rPr>
      </w:pPr>
      <w:bookmarkStart w:id="42" w:name="_Toc23818"/>
      <w:r w:rsidRPr="00563021">
        <w:rPr>
          <w:rFonts w:ascii="黑体" w:eastAsia="黑体" w:hAnsi="黑体"/>
        </w:rPr>
        <w:br/>
      </w:r>
      <w:r w:rsidRPr="00563021">
        <w:rPr>
          <w:rFonts w:ascii="黑体" w:eastAsia="黑体" w:hAnsi="黑体" w:hint="eastAsia"/>
        </w:rPr>
        <w:t>危害因素</w:t>
      </w:r>
      <w:bookmarkEnd w:id="42"/>
    </w:p>
    <w:p w14:paraId="1219817A" w14:textId="77777777" w:rsidR="00F862B4" w:rsidRDefault="00000000">
      <w:pPr>
        <w:pStyle w:val="afffff7"/>
        <w:ind w:firstLine="420"/>
      </w:pPr>
      <w:r>
        <w:rPr>
          <w:rFonts w:hint="eastAsia"/>
        </w:rPr>
        <w:t>可能导致伤害、健康损害，或危险状态的来源，也称为危险源、危害来源或危险、有害因素。</w:t>
      </w:r>
    </w:p>
    <w:p w14:paraId="1219817B" w14:textId="7C24ADC2" w:rsidR="00F862B4" w:rsidRPr="00563021" w:rsidRDefault="00563021" w:rsidP="00563021">
      <w:pPr>
        <w:pStyle w:val="afffffffffff6"/>
        <w:ind w:left="420" w:hangingChars="200" w:hanging="420"/>
        <w:rPr>
          <w:rFonts w:ascii="黑体" w:eastAsia="黑体" w:hAnsi="黑体" w:hint="eastAsia"/>
        </w:rPr>
      </w:pPr>
      <w:bookmarkStart w:id="43" w:name="_Toc5839"/>
      <w:r w:rsidRPr="00563021">
        <w:rPr>
          <w:rFonts w:ascii="黑体" w:eastAsia="黑体" w:hAnsi="黑体"/>
        </w:rPr>
        <w:br/>
      </w:r>
      <w:r w:rsidRPr="00563021">
        <w:rPr>
          <w:rFonts w:ascii="黑体" w:eastAsia="黑体" w:hAnsi="黑体" w:hint="eastAsia"/>
        </w:rPr>
        <w:t>失控诱因</w:t>
      </w:r>
      <w:bookmarkEnd w:id="43"/>
    </w:p>
    <w:p w14:paraId="1219817C" w14:textId="77777777" w:rsidR="00F862B4" w:rsidRDefault="00000000">
      <w:pPr>
        <w:pStyle w:val="afffff7"/>
        <w:ind w:firstLine="420"/>
      </w:pPr>
      <w:r>
        <w:rPr>
          <w:rFonts w:hint="eastAsia"/>
        </w:rPr>
        <w:t>导致危害因素失控、后果出现或扩大的原因。</w:t>
      </w:r>
    </w:p>
    <w:p w14:paraId="1219817D" w14:textId="2FE11DAA" w:rsidR="00F862B4" w:rsidRPr="00563021" w:rsidRDefault="00563021" w:rsidP="00563021">
      <w:pPr>
        <w:pStyle w:val="afffffffffff6"/>
        <w:ind w:left="420" w:hangingChars="200" w:hanging="420"/>
        <w:rPr>
          <w:rFonts w:ascii="黑体" w:eastAsia="黑体" w:hAnsi="黑体" w:hint="eastAsia"/>
        </w:rPr>
      </w:pPr>
      <w:bookmarkStart w:id="44" w:name="_Toc32256"/>
      <w:r w:rsidRPr="00563021">
        <w:rPr>
          <w:rFonts w:ascii="黑体" w:eastAsia="黑体" w:hAnsi="黑体"/>
        </w:rPr>
        <w:br/>
      </w:r>
      <w:r w:rsidRPr="00563021">
        <w:rPr>
          <w:rFonts w:ascii="黑体" w:eastAsia="黑体" w:hAnsi="黑体" w:hint="eastAsia"/>
        </w:rPr>
        <w:t>危害因素描述</w:t>
      </w:r>
      <w:bookmarkEnd w:id="44"/>
    </w:p>
    <w:p w14:paraId="1219817E" w14:textId="77777777" w:rsidR="00F862B4" w:rsidRDefault="00000000">
      <w:pPr>
        <w:pStyle w:val="afffff7"/>
        <w:ind w:firstLine="420"/>
      </w:pPr>
      <w:r>
        <w:rPr>
          <w:rFonts w:hint="eastAsia"/>
        </w:rPr>
        <w:t>对危害因素所做结构化表述，通常包括四个要素：危害来源、事件、失控诱因和后果。</w:t>
      </w:r>
    </w:p>
    <w:p w14:paraId="1219817F" w14:textId="6F04CD4E" w:rsidR="00F862B4" w:rsidRPr="00563021" w:rsidRDefault="00563021" w:rsidP="00563021">
      <w:pPr>
        <w:pStyle w:val="afffffffffff6"/>
        <w:ind w:left="420" w:hangingChars="200" w:hanging="420"/>
        <w:rPr>
          <w:rFonts w:ascii="黑体" w:eastAsia="黑体" w:hAnsi="黑体" w:hint="eastAsia"/>
        </w:rPr>
      </w:pPr>
      <w:bookmarkStart w:id="45" w:name="_Toc97"/>
      <w:r w:rsidRPr="00563021">
        <w:rPr>
          <w:rFonts w:ascii="黑体" w:eastAsia="黑体" w:hAnsi="黑体"/>
        </w:rPr>
        <w:lastRenderedPageBreak/>
        <w:br/>
      </w:r>
      <w:r w:rsidRPr="00563021">
        <w:rPr>
          <w:rFonts w:ascii="黑体" w:eastAsia="黑体" w:hAnsi="黑体" w:hint="eastAsia"/>
        </w:rPr>
        <w:t>风险控制措施</w:t>
      </w:r>
      <w:bookmarkEnd w:id="45"/>
    </w:p>
    <w:p w14:paraId="12198180" w14:textId="77777777" w:rsidR="00F862B4" w:rsidRDefault="00000000">
      <w:pPr>
        <w:pStyle w:val="afffff7"/>
        <w:ind w:firstLine="420"/>
      </w:pPr>
      <w:r>
        <w:rPr>
          <w:rFonts w:hint="eastAsia"/>
        </w:rPr>
        <w:t>针对失控诱因所需采取的控制措施。</w:t>
      </w:r>
    </w:p>
    <w:p w14:paraId="12198181" w14:textId="0011F029" w:rsidR="00F862B4" w:rsidRPr="00563021" w:rsidRDefault="00563021" w:rsidP="00563021">
      <w:pPr>
        <w:pStyle w:val="afffffffffff6"/>
        <w:ind w:left="420" w:hangingChars="200" w:hanging="420"/>
        <w:rPr>
          <w:rFonts w:ascii="黑体" w:eastAsia="黑体" w:hAnsi="黑体" w:hint="eastAsia"/>
        </w:rPr>
      </w:pPr>
      <w:bookmarkStart w:id="46" w:name="_Toc12563"/>
      <w:r w:rsidRPr="00563021">
        <w:rPr>
          <w:rFonts w:ascii="黑体" w:eastAsia="黑体" w:hAnsi="黑体"/>
        </w:rPr>
        <w:br/>
      </w:r>
      <w:r w:rsidRPr="00563021">
        <w:rPr>
          <w:rFonts w:ascii="黑体" w:eastAsia="黑体" w:hAnsi="黑体" w:hint="eastAsia"/>
        </w:rPr>
        <w:t>高后果危害因素</w:t>
      </w:r>
      <w:bookmarkEnd w:id="46"/>
    </w:p>
    <w:p w14:paraId="12198182" w14:textId="77777777" w:rsidR="00F862B4" w:rsidRDefault="00000000">
      <w:pPr>
        <w:pStyle w:val="afffff7"/>
        <w:ind w:firstLine="420"/>
      </w:pPr>
      <w:r>
        <w:rPr>
          <w:rFonts w:hint="eastAsia"/>
        </w:rPr>
        <w:t>失控后，可能导致多人重伤或死亡，以及可能导致火灾、爆炸等严重社会影响的危害因素。</w:t>
      </w:r>
    </w:p>
    <w:p w14:paraId="12198183" w14:textId="77777777" w:rsidR="00F862B4" w:rsidRDefault="00000000">
      <w:pPr>
        <w:pStyle w:val="affd"/>
        <w:spacing w:before="312" w:after="312"/>
      </w:pPr>
      <w:bookmarkStart w:id="47" w:name="_Toc6258"/>
      <w:bookmarkStart w:id="48" w:name="_Toc207880755"/>
      <w:r>
        <w:rPr>
          <w:rFonts w:hint="eastAsia"/>
        </w:rPr>
        <w:t>总体要求</w:t>
      </w:r>
      <w:bookmarkEnd w:id="47"/>
      <w:bookmarkEnd w:id="48"/>
    </w:p>
    <w:p w14:paraId="12198184" w14:textId="73A683FB" w:rsidR="00F862B4" w:rsidRDefault="00000000">
      <w:pPr>
        <w:pStyle w:val="afffff7"/>
        <w:ind w:firstLine="420"/>
      </w:pPr>
      <w:r>
        <w:rPr>
          <w:rFonts w:hint="eastAsia"/>
        </w:rPr>
        <w:t>安全评价应符</w:t>
      </w:r>
      <w:r w:rsidRPr="00563021">
        <w:rPr>
          <w:rFonts w:ascii="Times New Roman"/>
        </w:rPr>
        <w:t>合</w:t>
      </w:r>
      <w:r w:rsidRPr="00563021">
        <w:rPr>
          <w:rFonts w:ascii="Times New Roman"/>
        </w:rPr>
        <w:t> AQ 8001</w:t>
      </w:r>
      <w:r w:rsidRPr="00563021">
        <w:rPr>
          <w:rFonts w:ascii="Times New Roman"/>
        </w:rPr>
        <w:t>的规</w:t>
      </w:r>
      <w:r>
        <w:rPr>
          <w:rFonts w:hint="eastAsia"/>
        </w:rPr>
        <w:t>定</w:t>
      </w:r>
      <w:r w:rsidRPr="002653DE">
        <w:rPr>
          <w:rFonts w:hint="eastAsia"/>
        </w:rPr>
        <w:t>。</w:t>
      </w:r>
    </w:p>
    <w:p w14:paraId="12198185" w14:textId="77777777" w:rsidR="00F862B4" w:rsidRDefault="00000000">
      <w:pPr>
        <w:pStyle w:val="affd"/>
        <w:spacing w:before="312" w:after="312"/>
      </w:pPr>
      <w:bookmarkStart w:id="49" w:name="_Toc21282"/>
      <w:bookmarkStart w:id="50" w:name="_Toc207880756"/>
      <w:r>
        <w:rPr>
          <w:rFonts w:hint="eastAsia"/>
        </w:rPr>
        <w:t>前期准备</w:t>
      </w:r>
      <w:bookmarkEnd w:id="49"/>
      <w:bookmarkEnd w:id="50"/>
    </w:p>
    <w:p w14:paraId="12198186" w14:textId="77777777" w:rsidR="00F862B4" w:rsidRDefault="00000000">
      <w:pPr>
        <w:pStyle w:val="affe"/>
        <w:spacing w:before="156" w:after="156"/>
      </w:pPr>
      <w:bookmarkStart w:id="51" w:name="_Toc30997"/>
      <w:r>
        <w:rPr>
          <w:rFonts w:hint="eastAsia"/>
        </w:rPr>
        <w:t>成立项目组</w:t>
      </w:r>
      <w:bookmarkEnd w:id="51"/>
    </w:p>
    <w:p w14:paraId="12198187" w14:textId="77777777" w:rsidR="00F862B4" w:rsidRDefault="00000000">
      <w:pPr>
        <w:pStyle w:val="afffff7"/>
        <w:ind w:firstLine="420"/>
      </w:pPr>
      <w:r>
        <w:rPr>
          <w:rFonts w:hint="eastAsia"/>
        </w:rPr>
        <w:t>评价项目组应包含安全、机械、电气、化工等专业安全评价技术人员，并符合国家相关标准的要求。</w:t>
      </w:r>
    </w:p>
    <w:p w14:paraId="12198188" w14:textId="77777777" w:rsidR="00F862B4" w:rsidRDefault="00000000">
      <w:pPr>
        <w:pStyle w:val="affe"/>
        <w:spacing w:before="156" w:after="156"/>
      </w:pPr>
      <w:bookmarkStart w:id="52" w:name="_Toc19432"/>
      <w:r>
        <w:rPr>
          <w:rFonts w:hint="eastAsia"/>
        </w:rPr>
        <w:t>确定评价范围</w:t>
      </w:r>
      <w:bookmarkEnd w:id="52"/>
    </w:p>
    <w:p w14:paraId="12198189" w14:textId="77777777" w:rsidR="00F862B4" w:rsidRDefault="00000000">
      <w:pPr>
        <w:pStyle w:val="afffffffff3"/>
      </w:pPr>
      <w:r>
        <w:rPr>
          <w:rFonts w:hint="eastAsia"/>
        </w:rPr>
        <w:t>涂装企业的安全评价范围，应包括但不限于以下生产工艺及设备设施：</w:t>
      </w:r>
    </w:p>
    <w:p w14:paraId="1219818A" w14:textId="77777777" w:rsidR="00F862B4" w:rsidRDefault="00000000">
      <w:pPr>
        <w:pStyle w:val="af2"/>
        <w:widowControl w:val="0"/>
      </w:pPr>
      <w:r>
        <w:rPr>
          <w:rFonts w:hint="eastAsia"/>
        </w:rPr>
        <w:t>涂装及其前后处理工序，如表面处理、清洁除尘、调漆（胶）、供漆（胶）、涂装、烘干（固化）等生产工艺及设备设施；</w:t>
      </w:r>
    </w:p>
    <w:p w14:paraId="1219818B" w14:textId="77777777" w:rsidR="00F862B4" w:rsidRDefault="00000000">
      <w:pPr>
        <w:pStyle w:val="af2"/>
        <w:widowControl w:val="0"/>
      </w:pPr>
      <w:r>
        <w:rPr>
          <w:rFonts w:hint="eastAsia"/>
        </w:rPr>
        <w:t>与涂装活动配套的设施，如油漆、胶水及稀释剂等原辅材料储存设施，漆渣、废活性炭及废过滤棉等危险废物储存设施，涂装废气处理设施等；</w:t>
      </w:r>
    </w:p>
    <w:p w14:paraId="1219818C" w14:textId="77777777" w:rsidR="00F862B4" w:rsidRDefault="00000000">
      <w:pPr>
        <w:pStyle w:val="af2"/>
        <w:widowControl w:val="0"/>
      </w:pPr>
      <w:r>
        <w:rPr>
          <w:rFonts w:hint="eastAsia"/>
        </w:rPr>
        <w:t>其他涂装加工涉及的生产工艺、设备设施，以及其他配套的公用工程与辅助设施等；</w:t>
      </w:r>
    </w:p>
    <w:p w14:paraId="1219818D" w14:textId="77777777" w:rsidR="00F862B4" w:rsidRDefault="00000000">
      <w:pPr>
        <w:pStyle w:val="af2"/>
        <w:widowControl w:val="0"/>
      </w:pPr>
      <w:r>
        <w:rPr>
          <w:rFonts w:hint="eastAsia"/>
        </w:rPr>
        <w:t>当对涂装作业过程做专项安全评价时，评价范围宜包括与喷漆室直接关联的烘干系统和废气收集处理系统。</w:t>
      </w:r>
    </w:p>
    <w:p w14:paraId="1219818E" w14:textId="77777777" w:rsidR="00F862B4" w:rsidRDefault="00000000">
      <w:pPr>
        <w:pStyle w:val="afffffffff3"/>
      </w:pPr>
      <w:r>
        <w:rPr>
          <w:rFonts w:hint="eastAsia"/>
        </w:rPr>
        <w:t>评价项目组应根据委托单位提供的信息，列表描述评价范围，并形成书面文件提交委托单位确认。评价范围描述应包括：</w:t>
      </w:r>
    </w:p>
    <w:p w14:paraId="1219818F" w14:textId="77777777" w:rsidR="00F862B4" w:rsidRDefault="00000000">
      <w:pPr>
        <w:pStyle w:val="af2"/>
        <w:widowControl w:val="0"/>
      </w:pPr>
      <w:r>
        <w:rPr>
          <w:rFonts w:hint="eastAsia"/>
        </w:rPr>
        <w:t>被评价对象的位置信息；</w:t>
      </w:r>
    </w:p>
    <w:p w14:paraId="12198190" w14:textId="77777777" w:rsidR="00F862B4" w:rsidRDefault="00000000">
      <w:pPr>
        <w:pStyle w:val="af2"/>
        <w:widowControl w:val="0"/>
      </w:pPr>
      <w:r>
        <w:rPr>
          <w:rFonts w:hint="eastAsia"/>
        </w:rPr>
        <w:t>被评价对象加工规模，包括产品种类及加工能力；</w:t>
      </w:r>
    </w:p>
    <w:p w14:paraId="12198191" w14:textId="77777777" w:rsidR="00F862B4" w:rsidRDefault="00000000">
      <w:pPr>
        <w:pStyle w:val="af2"/>
        <w:widowControl w:val="0"/>
      </w:pPr>
      <w:r>
        <w:rPr>
          <w:rFonts w:hint="eastAsia"/>
        </w:rPr>
        <w:t>被评价对象包括的建构筑物；</w:t>
      </w:r>
    </w:p>
    <w:p w14:paraId="12198192" w14:textId="77777777" w:rsidR="00F862B4" w:rsidRDefault="00000000">
      <w:pPr>
        <w:pStyle w:val="af2"/>
        <w:widowControl w:val="0"/>
      </w:pPr>
      <w:r>
        <w:rPr>
          <w:rFonts w:hint="eastAsia"/>
        </w:rPr>
        <w:t>被评价对象包括的主要公用工程和辅助设施；</w:t>
      </w:r>
    </w:p>
    <w:p w14:paraId="12198193" w14:textId="77777777" w:rsidR="00F862B4" w:rsidRDefault="00000000">
      <w:pPr>
        <w:pStyle w:val="af2"/>
        <w:widowControl w:val="0"/>
      </w:pPr>
      <w:r>
        <w:rPr>
          <w:rFonts w:hint="eastAsia"/>
        </w:rPr>
        <w:t>其他未被纳入评价范围的生产设备设施及其原因说明。</w:t>
      </w:r>
    </w:p>
    <w:p w14:paraId="12198194" w14:textId="77777777" w:rsidR="00F862B4" w:rsidRDefault="00000000">
      <w:pPr>
        <w:pStyle w:val="afffffffff3"/>
      </w:pPr>
      <w:r>
        <w:rPr>
          <w:rFonts w:hint="eastAsia"/>
        </w:rPr>
        <w:t>评价范围应符合国家相关法律法规及技术标准要求。</w:t>
      </w:r>
    </w:p>
    <w:p w14:paraId="12198195" w14:textId="77777777" w:rsidR="00F862B4" w:rsidRDefault="00000000">
      <w:pPr>
        <w:pStyle w:val="affe"/>
        <w:spacing w:before="156" w:after="156"/>
      </w:pPr>
      <w:bookmarkStart w:id="53" w:name="_Toc29023"/>
      <w:r>
        <w:rPr>
          <w:rFonts w:hint="eastAsia"/>
        </w:rPr>
        <w:t>收集资料</w:t>
      </w:r>
      <w:bookmarkEnd w:id="53"/>
    </w:p>
    <w:p w14:paraId="12198196" w14:textId="77777777" w:rsidR="00F862B4" w:rsidRDefault="00000000">
      <w:pPr>
        <w:pStyle w:val="afffffffff3"/>
      </w:pPr>
      <w:r>
        <w:rPr>
          <w:rFonts w:hint="eastAsia"/>
        </w:rPr>
        <w:t>对被评价企业开展调研，收集以下材料：</w:t>
      </w:r>
    </w:p>
    <w:p w14:paraId="12198197" w14:textId="77777777" w:rsidR="00F862B4" w:rsidRDefault="00000000">
      <w:pPr>
        <w:pStyle w:val="af6"/>
      </w:pPr>
      <w:r>
        <w:rPr>
          <w:rFonts w:hint="eastAsia"/>
        </w:rPr>
        <w:t>技术资料，包括但不限于：</w:t>
      </w:r>
    </w:p>
    <w:p w14:paraId="12198198" w14:textId="77777777" w:rsidR="00F862B4" w:rsidRDefault="00000000">
      <w:pPr>
        <w:pStyle w:val="af7"/>
      </w:pPr>
      <w:r>
        <w:rPr>
          <w:rFonts w:hint="eastAsia"/>
        </w:rPr>
        <w:t>企业合规信息；</w:t>
      </w:r>
    </w:p>
    <w:p w14:paraId="12198199" w14:textId="77777777" w:rsidR="00F862B4" w:rsidRDefault="00000000">
      <w:pPr>
        <w:pStyle w:val="af7"/>
      </w:pPr>
      <w:r>
        <w:rPr>
          <w:rFonts w:hint="eastAsia"/>
        </w:rPr>
        <w:t>涂装企业的平面布置，建构筑物；</w:t>
      </w:r>
    </w:p>
    <w:p w14:paraId="1219819A" w14:textId="77777777" w:rsidR="00F862B4" w:rsidRDefault="00000000">
      <w:pPr>
        <w:pStyle w:val="af7"/>
      </w:pPr>
      <w:r>
        <w:rPr>
          <w:rFonts w:hint="eastAsia"/>
        </w:rPr>
        <w:t>生产加工工艺；</w:t>
      </w:r>
    </w:p>
    <w:p w14:paraId="1219819B" w14:textId="77777777" w:rsidR="00F862B4" w:rsidRDefault="00000000">
      <w:pPr>
        <w:pStyle w:val="af7"/>
      </w:pPr>
      <w:r>
        <w:rPr>
          <w:rFonts w:hint="eastAsia"/>
        </w:rPr>
        <w:t>生产设备型式和数量；</w:t>
      </w:r>
    </w:p>
    <w:p w14:paraId="1219819C" w14:textId="77777777" w:rsidR="00F862B4" w:rsidRDefault="00000000">
      <w:pPr>
        <w:pStyle w:val="af7"/>
      </w:pPr>
      <w:r>
        <w:rPr>
          <w:rFonts w:hint="eastAsia"/>
        </w:rPr>
        <w:t>烘干热源提供方式；</w:t>
      </w:r>
    </w:p>
    <w:p w14:paraId="1219819D" w14:textId="77777777" w:rsidR="00F862B4" w:rsidRDefault="00000000">
      <w:pPr>
        <w:pStyle w:val="af7"/>
      </w:pPr>
      <w:r>
        <w:rPr>
          <w:rFonts w:hint="eastAsia"/>
        </w:rPr>
        <w:lastRenderedPageBreak/>
        <w:t>使用化学品种类、数量；</w:t>
      </w:r>
    </w:p>
    <w:p w14:paraId="1219819E" w14:textId="77777777" w:rsidR="00F862B4" w:rsidRDefault="00000000">
      <w:pPr>
        <w:pStyle w:val="af7"/>
      </w:pPr>
      <w:r>
        <w:rPr>
          <w:rFonts w:hint="eastAsia"/>
        </w:rPr>
        <w:t>油漆、固化剂、稀释剂等专用化学品安全技术说明书；</w:t>
      </w:r>
    </w:p>
    <w:p w14:paraId="1219819F" w14:textId="77777777" w:rsidR="00F862B4" w:rsidRDefault="00000000">
      <w:pPr>
        <w:pStyle w:val="af7"/>
      </w:pPr>
      <w:r>
        <w:rPr>
          <w:rFonts w:hint="eastAsia"/>
        </w:rPr>
        <w:t>公用工程和辅助生产设施；</w:t>
      </w:r>
    </w:p>
    <w:p w14:paraId="121981A0" w14:textId="77777777" w:rsidR="00F862B4" w:rsidRDefault="00000000">
      <w:pPr>
        <w:pStyle w:val="af7"/>
      </w:pPr>
      <w:r>
        <w:rPr>
          <w:rFonts w:hint="eastAsia"/>
        </w:rPr>
        <w:t>与评价有关的法定检测报告等。</w:t>
      </w:r>
    </w:p>
    <w:p w14:paraId="121981A1" w14:textId="77777777" w:rsidR="00F862B4" w:rsidRDefault="00000000">
      <w:pPr>
        <w:pStyle w:val="af6"/>
      </w:pPr>
      <w:r>
        <w:rPr>
          <w:rFonts w:hint="eastAsia"/>
        </w:rPr>
        <w:t>法律法规和技术规范。</w:t>
      </w:r>
    </w:p>
    <w:p w14:paraId="121981A2" w14:textId="77777777" w:rsidR="00F862B4" w:rsidRDefault="00000000">
      <w:pPr>
        <w:pStyle w:val="afffffffff3"/>
      </w:pPr>
      <w:r>
        <w:rPr>
          <w:rFonts w:hint="eastAsia"/>
        </w:rPr>
        <w:t>前期收集的资料应满足开展现场勘察需求，剩余资料可以在现场勘察阶段现场收集。</w:t>
      </w:r>
    </w:p>
    <w:p w14:paraId="121981A3" w14:textId="77777777" w:rsidR="00F862B4" w:rsidRDefault="00000000">
      <w:pPr>
        <w:pStyle w:val="affd"/>
        <w:spacing w:before="312" w:after="312"/>
      </w:pPr>
      <w:bookmarkStart w:id="54" w:name="_Toc9045"/>
      <w:bookmarkStart w:id="55" w:name="_Toc207880757"/>
      <w:r>
        <w:rPr>
          <w:rFonts w:hint="eastAsia"/>
        </w:rPr>
        <w:t>评价单元及风险点划分</w:t>
      </w:r>
      <w:bookmarkEnd w:id="54"/>
      <w:bookmarkEnd w:id="55"/>
    </w:p>
    <w:p w14:paraId="121981A4" w14:textId="77777777" w:rsidR="00F862B4" w:rsidRDefault="00000000">
      <w:pPr>
        <w:pStyle w:val="affe"/>
        <w:spacing w:before="156" w:after="156"/>
      </w:pPr>
      <w:bookmarkStart w:id="56" w:name="_Toc29135"/>
      <w:r>
        <w:t>采集风险数据</w:t>
      </w:r>
      <w:bookmarkEnd w:id="56"/>
    </w:p>
    <w:p w14:paraId="121981A5" w14:textId="77777777" w:rsidR="00F862B4" w:rsidRDefault="00000000">
      <w:pPr>
        <w:pStyle w:val="afffffffff3"/>
      </w:pPr>
      <w:r>
        <w:rPr>
          <w:rFonts w:hint="eastAsia"/>
        </w:rPr>
        <w:t>初次现场勘察时，评价组应对安全评价范围信息进行核实；必要时，应根据勘察结果修订评价范围。</w:t>
      </w:r>
    </w:p>
    <w:p w14:paraId="121981A6" w14:textId="77777777" w:rsidR="00F862B4" w:rsidRDefault="00000000">
      <w:pPr>
        <w:pStyle w:val="afffffffff3"/>
      </w:pPr>
      <w:r>
        <w:rPr>
          <w:rFonts w:hint="eastAsia"/>
        </w:rPr>
        <w:t>初次现场勘察时，应采集与安全评价范围有关的风险数据信息，主要包括：</w:t>
      </w:r>
    </w:p>
    <w:p w14:paraId="121981A7" w14:textId="77777777" w:rsidR="00F862B4" w:rsidRDefault="00000000">
      <w:pPr>
        <w:pStyle w:val="af2"/>
      </w:pPr>
      <w:r>
        <w:rPr>
          <w:rFonts w:hint="eastAsia"/>
        </w:rPr>
        <w:t>企业选址、周边环境、平面布置情况，包括周边建筑设施及其防火间距情况；</w:t>
      </w:r>
    </w:p>
    <w:p w14:paraId="121981A8" w14:textId="77777777" w:rsidR="00F862B4" w:rsidRDefault="00000000">
      <w:pPr>
        <w:pStyle w:val="af2"/>
      </w:pPr>
      <w:r>
        <w:rPr>
          <w:rFonts w:hint="eastAsia"/>
        </w:rPr>
        <w:t>建构筑物情况，包括建构筑物的用途、结构、火灾危险类别、耐火等级、层数、高度，各建筑物内疏散距离长度、疏散通道宽度和安全出口数量，以及建构筑物消防验收情况等；</w:t>
      </w:r>
    </w:p>
    <w:p w14:paraId="121981A9" w14:textId="77777777" w:rsidR="00F862B4" w:rsidRDefault="00000000">
      <w:pPr>
        <w:pStyle w:val="af2"/>
      </w:pPr>
      <w:r>
        <w:rPr>
          <w:rFonts w:hint="eastAsia"/>
        </w:rPr>
        <w:t>生产工艺信息，包括工艺步骤、工艺控制参数、主要作业活动，以及生产过程使用的原辅材料等；</w:t>
      </w:r>
    </w:p>
    <w:p w14:paraId="121981AA" w14:textId="77777777" w:rsidR="00F862B4" w:rsidRDefault="00000000">
      <w:pPr>
        <w:pStyle w:val="af2"/>
      </w:pPr>
      <w:r>
        <w:rPr>
          <w:rFonts w:hint="eastAsia"/>
        </w:rPr>
        <w:t>设备设施及其布置情况，设备设施信息包括生产设备设施型号、数量等，布置信息包括生产线所处车间及楼层，车间功能区划分与分隔措施；</w:t>
      </w:r>
    </w:p>
    <w:p w14:paraId="121981AB" w14:textId="77777777" w:rsidR="00F862B4" w:rsidRDefault="00000000">
      <w:pPr>
        <w:pStyle w:val="af2"/>
      </w:pPr>
      <w:r>
        <w:rPr>
          <w:rFonts w:hint="eastAsia"/>
        </w:rPr>
        <w:t>公用工程及辅助设施利用情况，包括供水、供电、供气、供热、废气处理设施、危险废物储存设施、废水处理设施、通风与空气调节设施、消防设施、仓储设施等；</w:t>
      </w:r>
    </w:p>
    <w:p w14:paraId="121981AC" w14:textId="77777777" w:rsidR="00F862B4" w:rsidRDefault="00000000">
      <w:pPr>
        <w:pStyle w:val="af2"/>
      </w:pPr>
      <w:r>
        <w:rPr>
          <w:rFonts w:hint="eastAsia"/>
        </w:rPr>
        <w:t>被评价对象的危害因素及其已采取的安全风险控制措施，包括工程技术措施、管理措施、教育培训措施、个体防护措施和应急准备措施等；</w:t>
      </w:r>
    </w:p>
    <w:p w14:paraId="121981AD" w14:textId="77777777" w:rsidR="00F862B4" w:rsidRDefault="00000000">
      <w:pPr>
        <w:pStyle w:val="af2"/>
      </w:pPr>
      <w:r>
        <w:rPr>
          <w:rFonts w:hint="eastAsia"/>
        </w:rPr>
        <w:t>企业安全管理基础信息，包括企业安全管理组织架构，现有安全管理体系运行情况等。</w:t>
      </w:r>
    </w:p>
    <w:p w14:paraId="121981AE" w14:textId="77777777" w:rsidR="00F862B4" w:rsidRDefault="00000000">
      <w:pPr>
        <w:pStyle w:val="afffffffff3"/>
      </w:pPr>
      <w:r>
        <w:rPr>
          <w:rFonts w:hint="eastAsia"/>
        </w:rPr>
        <w:t>以下风险信息，应同步采集影像资料：</w:t>
      </w:r>
    </w:p>
    <w:p w14:paraId="121981AF" w14:textId="77777777" w:rsidR="00F862B4" w:rsidRDefault="00000000">
      <w:pPr>
        <w:pStyle w:val="af2"/>
      </w:pPr>
      <w:r>
        <w:rPr>
          <w:rFonts w:hint="eastAsia"/>
        </w:rPr>
        <w:t>安全隐患图像信息；</w:t>
      </w:r>
    </w:p>
    <w:p w14:paraId="121981B0" w14:textId="77777777" w:rsidR="00F862B4" w:rsidRDefault="00000000">
      <w:pPr>
        <w:pStyle w:val="af2"/>
      </w:pPr>
      <w:r>
        <w:rPr>
          <w:rFonts w:hint="eastAsia"/>
        </w:rPr>
        <w:t>如可能，可以采集企业周边环境、平面布置、生产工艺和设备、公辅工程信息。</w:t>
      </w:r>
    </w:p>
    <w:p w14:paraId="121981B1" w14:textId="77777777" w:rsidR="00F862B4" w:rsidRDefault="00000000">
      <w:pPr>
        <w:pStyle w:val="afffffffff3"/>
      </w:pPr>
      <w:r>
        <w:rPr>
          <w:rFonts w:hint="eastAsia"/>
        </w:rPr>
        <w:t>风险数据采集应形成记录，记录可以为电子信息或纸质文件信息，记录保存不应少于3年（以安全评价报告日期计）。</w:t>
      </w:r>
    </w:p>
    <w:p w14:paraId="121981B2" w14:textId="77777777" w:rsidR="00F862B4" w:rsidRDefault="00000000">
      <w:pPr>
        <w:pStyle w:val="affe"/>
        <w:spacing w:before="156" w:after="156"/>
      </w:pPr>
      <w:bookmarkStart w:id="57" w:name="_Toc14080"/>
      <w:r>
        <w:rPr>
          <w:rFonts w:hint="eastAsia"/>
        </w:rPr>
        <w:t>划分评价单元</w:t>
      </w:r>
      <w:bookmarkEnd w:id="57"/>
    </w:p>
    <w:p w14:paraId="121981B3" w14:textId="77777777" w:rsidR="00F862B4" w:rsidRDefault="00000000">
      <w:pPr>
        <w:pStyle w:val="afffff7"/>
        <w:ind w:firstLine="420"/>
      </w:pPr>
      <w:r>
        <w:t>根据</w:t>
      </w:r>
      <w:r>
        <w:rPr>
          <w:rFonts w:hint="eastAsia"/>
        </w:rPr>
        <w:t>被评价对象特点，划分评价单元，评价单元包括但不限于：</w:t>
      </w:r>
    </w:p>
    <w:p w14:paraId="121981B4" w14:textId="77777777" w:rsidR="00F862B4" w:rsidRDefault="00000000">
      <w:pPr>
        <w:pStyle w:val="af2"/>
      </w:pPr>
      <w:r>
        <w:rPr>
          <w:rFonts w:hint="eastAsia"/>
        </w:rPr>
        <w:t>企业选址和周边环境；</w:t>
      </w:r>
    </w:p>
    <w:p w14:paraId="121981B5" w14:textId="77777777" w:rsidR="00F862B4" w:rsidRDefault="00000000">
      <w:pPr>
        <w:pStyle w:val="af2"/>
      </w:pPr>
      <w:r>
        <w:rPr>
          <w:rFonts w:hint="eastAsia"/>
        </w:rPr>
        <w:t>总图布置；</w:t>
      </w:r>
    </w:p>
    <w:p w14:paraId="121981B6" w14:textId="77777777" w:rsidR="00F862B4" w:rsidRDefault="00000000">
      <w:pPr>
        <w:pStyle w:val="af2"/>
      </w:pPr>
      <w:r>
        <w:rPr>
          <w:rFonts w:hint="eastAsia"/>
        </w:rPr>
        <w:t>工艺与设备设施；</w:t>
      </w:r>
    </w:p>
    <w:p w14:paraId="121981B7" w14:textId="77777777" w:rsidR="00F862B4" w:rsidRDefault="00000000">
      <w:pPr>
        <w:pStyle w:val="af2"/>
      </w:pPr>
      <w:r>
        <w:rPr>
          <w:rFonts w:hint="eastAsia"/>
        </w:rPr>
        <w:t>公用工程与辅助设施；</w:t>
      </w:r>
    </w:p>
    <w:p w14:paraId="121981B8" w14:textId="77777777" w:rsidR="00F862B4" w:rsidRDefault="00000000">
      <w:pPr>
        <w:pStyle w:val="af2"/>
      </w:pPr>
      <w:r>
        <w:rPr>
          <w:rFonts w:hint="eastAsia"/>
        </w:rPr>
        <w:t>安全管理；</w:t>
      </w:r>
    </w:p>
    <w:p w14:paraId="121981B9" w14:textId="77777777" w:rsidR="00F862B4" w:rsidRDefault="00000000">
      <w:pPr>
        <w:pStyle w:val="af2"/>
      </w:pPr>
      <w:r>
        <w:rPr>
          <w:rFonts w:hAnsi="宋体" w:hint="eastAsia"/>
          <w:szCs w:val="21"/>
        </w:rPr>
        <w:t>基于法规要求的其他安全生产条件。</w:t>
      </w:r>
    </w:p>
    <w:p w14:paraId="121981BA" w14:textId="77777777" w:rsidR="00F862B4" w:rsidRDefault="00000000">
      <w:pPr>
        <w:pStyle w:val="afffff7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注：基于法规要求的其他安全生产条件，是在国家和地方对企业有特殊安全生产合规要求时，需对评价对象的合规情况分析评价的内容。</w:t>
      </w:r>
    </w:p>
    <w:p w14:paraId="121981BB" w14:textId="77777777" w:rsidR="00F862B4" w:rsidRDefault="00000000">
      <w:pPr>
        <w:pStyle w:val="afffff7"/>
        <w:ind w:firstLine="420"/>
      </w:pPr>
      <w:r>
        <w:rPr>
          <w:rFonts w:hint="eastAsia"/>
        </w:rPr>
        <w:t>工艺与设备设施、公用工程与辅助设施内容较多时，可根据不同功能分区，再划分若干评价子单元。</w:t>
      </w:r>
    </w:p>
    <w:p w14:paraId="121981BC" w14:textId="77777777" w:rsidR="00F862B4" w:rsidRDefault="00000000">
      <w:pPr>
        <w:pStyle w:val="affe"/>
        <w:spacing w:before="156" w:after="156"/>
      </w:pPr>
      <w:bookmarkStart w:id="58" w:name="_Toc31877"/>
      <w:r>
        <w:rPr>
          <w:rFonts w:hint="eastAsia"/>
        </w:rPr>
        <w:lastRenderedPageBreak/>
        <w:t>划分风险点</w:t>
      </w:r>
      <w:bookmarkEnd w:id="58"/>
    </w:p>
    <w:p w14:paraId="121981BD" w14:textId="77777777" w:rsidR="00F862B4" w:rsidRDefault="00000000">
      <w:pPr>
        <w:pStyle w:val="afffffffff3"/>
      </w:pPr>
      <w:r>
        <w:rPr>
          <w:rFonts w:hint="eastAsia"/>
        </w:rPr>
        <w:t>风险点应在评价单元的基础上划分。</w:t>
      </w:r>
    </w:p>
    <w:p w14:paraId="121981BE" w14:textId="77777777" w:rsidR="00F862B4" w:rsidRDefault="00000000">
      <w:pPr>
        <w:pStyle w:val="afffffffff3"/>
      </w:pPr>
      <w:r>
        <w:rPr>
          <w:rFonts w:hint="eastAsia"/>
        </w:rPr>
        <w:t>风险点划分范围应包括覆盖被评价对象所有场所、设施和作业活动。</w:t>
      </w:r>
    </w:p>
    <w:p w14:paraId="121981BF" w14:textId="77777777" w:rsidR="00F862B4" w:rsidRDefault="00000000">
      <w:pPr>
        <w:pStyle w:val="afffffffff3"/>
      </w:pPr>
      <w:r>
        <w:rPr>
          <w:rFonts w:hint="eastAsia"/>
        </w:rPr>
        <w:t>风险点的划分，应满足危害因素分析需要，不应疏漏。</w:t>
      </w:r>
    </w:p>
    <w:p w14:paraId="121981C0" w14:textId="77777777" w:rsidR="00F862B4" w:rsidRDefault="00000000">
      <w:pPr>
        <w:pStyle w:val="afff3"/>
      </w:pPr>
      <w:r>
        <w:rPr>
          <w:rFonts w:hint="eastAsia"/>
        </w:rPr>
        <w:t>为简化危险有害因素和定性定量评价工作，在安全评价报告中，可将同类风险点合并，但需对合并情况进行说明。</w:t>
      </w:r>
    </w:p>
    <w:p w14:paraId="121981C1" w14:textId="77777777" w:rsidR="00F862B4" w:rsidRDefault="00000000">
      <w:pPr>
        <w:pStyle w:val="ac"/>
      </w:pPr>
      <w:r>
        <w:rPr>
          <w:rFonts w:hint="eastAsia"/>
        </w:rPr>
        <w:t>风险点划分</w:t>
      </w:r>
    </w:p>
    <w:tbl>
      <w:tblPr>
        <w:tblStyle w:val="affff9"/>
        <w:tblW w:w="9421" w:type="dxa"/>
        <w:tblLayout w:type="fixed"/>
        <w:tblLook w:val="04A0" w:firstRow="1" w:lastRow="0" w:firstColumn="1" w:lastColumn="0" w:noHBand="0" w:noVBand="1"/>
      </w:tblPr>
      <w:tblGrid>
        <w:gridCol w:w="9421"/>
      </w:tblGrid>
      <w:tr w:rsidR="00F862B4" w14:paraId="121981F6" w14:textId="77777777">
        <w:trPr>
          <w:trHeight w:val="3980"/>
        </w:trPr>
        <w:tc>
          <w:tcPr>
            <w:tcW w:w="9421" w:type="dxa"/>
          </w:tcPr>
          <w:p w14:paraId="121981C2" w14:textId="77777777" w:rsidR="00F862B4" w:rsidRDefault="00F862B4">
            <w:pPr>
              <w:pStyle w:val="afffff7"/>
              <w:spacing w:line="120" w:lineRule="exact"/>
              <w:ind w:firstLineChars="0" w:firstLine="0"/>
              <w:rPr>
                <w:sz w:val="10"/>
                <w:szCs w:val="10"/>
              </w:rPr>
            </w:pPr>
          </w:p>
          <w:tbl>
            <w:tblPr>
              <w:tblStyle w:val="affff9"/>
              <w:tblW w:w="9203" w:type="dxa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416"/>
              <w:gridCol w:w="3704"/>
              <w:gridCol w:w="3270"/>
            </w:tblGrid>
            <w:tr w:rsidR="00F862B4" w14:paraId="121981C7" w14:textId="77777777">
              <w:trPr>
                <w:trHeight w:hRule="exact" w:val="369"/>
              </w:trPr>
              <w:tc>
                <w:tcPr>
                  <w:tcW w:w="813" w:type="dxa"/>
                  <w:vAlign w:val="center"/>
                </w:tcPr>
                <w:p w14:paraId="121981C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序号</w:t>
                  </w:r>
                </w:p>
              </w:tc>
              <w:tc>
                <w:tcPr>
                  <w:tcW w:w="1416" w:type="dxa"/>
                  <w:vAlign w:val="center"/>
                </w:tcPr>
                <w:p w14:paraId="121981C4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评价单元</w:t>
                  </w:r>
                </w:p>
              </w:tc>
              <w:tc>
                <w:tcPr>
                  <w:tcW w:w="3704" w:type="dxa"/>
                  <w:vAlign w:val="center"/>
                </w:tcPr>
                <w:p w14:paraId="121981C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风险点</w:t>
                  </w:r>
                </w:p>
              </w:tc>
              <w:tc>
                <w:tcPr>
                  <w:tcW w:w="3270" w:type="dxa"/>
                  <w:vAlign w:val="center"/>
                </w:tcPr>
                <w:p w14:paraId="121981C6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作业步骤/设备</w:t>
                  </w:r>
                </w:p>
              </w:tc>
            </w:tr>
            <w:tr w:rsidR="00F862B4" w14:paraId="121981CC" w14:textId="77777777">
              <w:trPr>
                <w:trHeight w:hRule="exact" w:val="369"/>
              </w:trPr>
              <w:tc>
                <w:tcPr>
                  <w:tcW w:w="813" w:type="dxa"/>
                  <w:vAlign w:val="center"/>
                </w:tcPr>
                <w:p w14:paraId="121981C8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 w14:paraId="121981C9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喷漆单元</w:t>
                  </w:r>
                </w:p>
              </w:tc>
              <w:tc>
                <w:tcPr>
                  <w:tcW w:w="3704" w:type="dxa"/>
                  <w:vAlign w:val="center"/>
                </w:tcPr>
                <w:p w14:paraId="121981CA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调漆间</w:t>
                  </w:r>
                </w:p>
              </w:tc>
              <w:tc>
                <w:tcPr>
                  <w:tcW w:w="3270" w:type="dxa"/>
                  <w:vAlign w:val="center"/>
                </w:tcPr>
                <w:p w14:paraId="121981C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调漆作业</w:t>
                  </w:r>
                </w:p>
              </w:tc>
            </w:tr>
            <w:tr w:rsidR="00F862B4" w14:paraId="121981D1" w14:textId="77777777">
              <w:trPr>
                <w:trHeight w:hRule="exact" w:val="369"/>
              </w:trPr>
              <w:tc>
                <w:tcPr>
                  <w:tcW w:w="813" w:type="dxa"/>
                  <w:vAlign w:val="center"/>
                </w:tcPr>
                <w:p w14:paraId="121981CD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416" w:type="dxa"/>
                  <w:vMerge/>
                  <w:vAlign w:val="center"/>
                </w:tcPr>
                <w:p w14:paraId="121981CE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3704" w:type="dxa"/>
                  <w:vAlign w:val="center"/>
                </w:tcPr>
                <w:p w14:paraId="121981C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供漆间</w:t>
                  </w:r>
                </w:p>
              </w:tc>
              <w:tc>
                <w:tcPr>
                  <w:tcW w:w="3270" w:type="dxa"/>
                  <w:vAlign w:val="center"/>
                </w:tcPr>
                <w:p w14:paraId="121981D0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-</w:t>
                  </w:r>
                </w:p>
              </w:tc>
            </w:tr>
            <w:tr w:rsidR="00F862B4" w14:paraId="121981D6" w14:textId="77777777">
              <w:trPr>
                <w:trHeight w:hRule="exact" w:val="369"/>
              </w:trPr>
              <w:tc>
                <w:tcPr>
                  <w:tcW w:w="813" w:type="dxa"/>
                  <w:vAlign w:val="center"/>
                </w:tcPr>
                <w:p w14:paraId="121981D2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416" w:type="dxa"/>
                  <w:vMerge/>
                  <w:vAlign w:val="center"/>
                </w:tcPr>
                <w:p w14:paraId="121981D3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3704" w:type="dxa"/>
                  <w:vAlign w:val="center"/>
                </w:tcPr>
                <w:p w14:paraId="121981D4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工件上、下线</w:t>
                  </w:r>
                </w:p>
              </w:tc>
              <w:tc>
                <w:tcPr>
                  <w:tcW w:w="3270" w:type="dxa"/>
                  <w:vAlign w:val="center"/>
                </w:tcPr>
                <w:p w14:paraId="121981D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-</w:t>
                  </w:r>
                </w:p>
              </w:tc>
            </w:tr>
            <w:tr w:rsidR="00F862B4" w14:paraId="121981DB" w14:textId="77777777">
              <w:trPr>
                <w:trHeight w:hRule="exact" w:val="369"/>
              </w:trPr>
              <w:tc>
                <w:tcPr>
                  <w:tcW w:w="813" w:type="dxa"/>
                  <w:vAlign w:val="center"/>
                </w:tcPr>
                <w:p w14:paraId="121981D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416" w:type="dxa"/>
                  <w:vMerge/>
                  <w:vAlign w:val="center"/>
                </w:tcPr>
                <w:p w14:paraId="121981D8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3704" w:type="dxa"/>
                  <w:vAlign w:val="center"/>
                </w:tcPr>
                <w:p w14:paraId="121981D9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静电除尘</w:t>
                  </w:r>
                </w:p>
              </w:tc>
              <w:tc>
                <w:tcPr>
                  <w:tcW w:w="3270" w:type="dxa"/>
                  <w:vAlign w:val="center"/>
                </w:tcPr>
                <w:p w14:paraId="121981DA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-</w:t>
                  </w:r>
                </w:p>
              </w:tc>
            </w:tr>
            <w:tr w:rsidR="00F862B4" w14:paraId="121981E0" w14:textId="77777777">
              <w:trPr>
                <w:trHeight w:hRule="exact" w:val="369"/>
              </w:trPr>
              <w:tc>
                <w:tcPr>
                  <w:tcW w:w="813" w:type="dxa"/>
                  <w:vMerge w:val="restart"/>
                  <w:vAlign w:val="center"/>
                </w:tcPr>
                <w:p w14:paraId="121981DC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416" w:type="dxa"/>
                  <w:vMerge/>
                  <w:vAlign w:val="center"/>
                </w:tcPr>
                <w:p w14:paraId="121981DD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3704" w:type="dxa"/>
                  <w:vMerge w:val="restart"/>
                  <w:vAlign w:val="center"/>
                </w:tcPr>
                <w:p w14:paraId="121981DE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自动化喷漆线</w:t>
                  </w:r>
                </w:p>
              </w:tc>
              <w:tc>
                <w:tcPr>
                  <w:tcW w:w="3270" w:type="dxa"/>
                  <w:vAlign w:val="center"/>
                </w:tcPr>
                <w:p w14:paraId="121981D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喷漆作业</w:t>
                  </w:r>
                </w:p>
              </w:tc>
            </w:tr>
            <w:tr w:rsidR="00F862B4" w14:paraId="121981E5" w14:textId="77777777">
              <w:trPr>
                <w:trHeight w:hRule="exact" w:val="369"/>
              </w:trPr>
              <w:tc>
                <w:tcPr>
                  <w:tcW w:w="813" w:type="dxa"/>
                  <w:vMerge/>
                  <w:vAlign w:val="center"/>
                </w:tcPr>
                <w:p w14:paraId="121981E1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121981E2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3704" w:type="dxa"/>
                  <w:vMerge/>
                  <w:vAlign w:val="center"/>
                </w:tcPr>
                <w:p w14:paraId="121981E3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3270" w:type="dxa"/>
                  <w:vAlign w:val="center"/>
                </w:tcPr>
                <w:p w14:paraId="121981E4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洗枪作业</w:t>
                  </w:r>
                </w:p>
              </w:tc>
            </w:tr>
            <w:tr w:rsidR="00F862B4" w14:paraId="121981EA" w14:textId="77777777">
              <w:trPr>
                <w:trHeight w:hRule="exact" w:val="369"/>
              </w:trPr>
              <w:tc>
                <w:tcPr>
                  <w:tcW w:w="813" w:type="dxa"/>
                  <w:vMerge/>
                  <w:vAlign w:val="center"/>
                </w:tcPr>
                <w:p w14:paraId="121981E6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14:paraId="121981E7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3704" w:type="dxa"/>
                  <w:vMerge/>
                  <w:vAlign w:val="center"/>
                </w:tcPr>
                <w:p w14:paraId="121981E8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3270" w:type="dxa"/>
                  <w:vAlign w:val="center"/>
                </w:tcPr>
                <w:p w14:paraId="121981E9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打捞漆渣</w:t>
                  </w:r>
                </w:p>
              </w:tc>
            </w:tr>
            <w:tr w:rsidR="00F862B4" w14:paraId="121981EF" w14:textId="77777777">
              <w:trPr>
                <w:trHeight w:hRule="exact" w:val="369"/>
              </w:trPr>
              <w:tc>
                <w:tcPr>
                  <w:tcW w:w="813" w:type="dxa"/>
                  <w:vAlign w:val="center"/>
                </w:tcPr>
                <w:p w14:paraId="121981E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1416" w:type="dxa"/>
                  <w:vMerge/>
                  <w:vAlign w:val="center"/>
                </w:tcPr>
                <w:p w14:paraId="121981EC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3704" w:type="dxa"/>
                  <w:vAlign w:val="center"/>
                </w:tcPr>
                <w:p w14:paraId="121981ED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烘干生产线</w:t>
                  </w:r>
                </w:p>
              </w:tc>
              <w:tc>
                <w:tcPr>
                  <w:tcW w:w="3270" w:type="dxa"/>
                  <w:vAlign w:val="center"/>
                </w:tcPr>
                <w:p w14:paraId="121981EE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-</w:t>
                  </w:r>
                </w:p>
              </w:tc>
            </w:tr>
            <w:tr w:rsidR="00F862B4" w14:paraId="121981F4" w14:textId="77777777">
              <w:trPr>
                <w:trHeight w:hRule="exact" w:val="369"/>
              </w:trPr>
              <w:tc>
                <w:tcPr>
                  <w:tcW w:w="813" w:type="dxa"/>
                  <w:vAlign w:val="center"/>
                </w:tcPr>
                <w:p w14:paraId="121981F0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  <w:tc>
                <w:tcPr>
                  <w:tcW w:w="1416" w:type="dxa"/>
                  <w:vAlign w:val="center"/>
                </w:tcPr>
                <w:p w14:paraId="121981F1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  <w:tc>
                <w:tcPr>
                  <w:tcW w:w="3704" w:type="dxa"/>
                  <w:vAlign w:val="center"/>
                </w:tcPr>
                <w:p w14:paraId="121981F2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  <w:tc>
                <w:tcPr>
                  <w:tcW w:w="3270" w:type="dxa"/>
                  <w:vAlign w:val="center"/>
                </w:tcPr>
                <w:p w14:paraId="121981F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</w:tr>
          </w:tbl>
          <w:p w14:paraId="121981F5" w14:textId="77777777" w:rsidR="00F862B4" w:rsidRDefault="00F862B4">
            <w:pPr>
              <w:pStyle w:val="afffff7"/>
              <w:spacing w:line="480" w:lineRule="auto"/>
              <w:ind w:firstLineChars="0" w:firstLine="0"/>
            </w:pPr>
          </w:p>
        </w:tc>
      </w:tr>
    </w:tbl>
    <w:p w14:paraId="121981F7" w14:textId="77777777" w:rsidR="00F862B4" w:rsidRDefault="00000000">
      <w:pPr>
        <w:pStyle w:val="affd"/>
        <w:spacing w:before="312" w:after="312"/>
      </w:pPr>
      <w:bookmarkStart w:id="59" w:name="_Toc14300"/>
      <w:bookmarkStart w:id="60" w:name="_Toc207880758"/>
      <w:r>
        <w:rPr>
          <w:rFonts w:hint="eastAsia"/>
        </w:rPr>
        <w:t>危害因素分析</w:t>
      </w:r>
      <w:bookmarkEnd w:id="59"/>
      <w:bookmarkEnd w:id="60"/>
    </w:p>
    <w:p w14:paraId="121981F8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int="eastAsia"/>
        </w:rPr>
        <w:t xml:space="preserve">7.1  </w:t>
      </w:r>
      <w:r>
        <w:rPr>
          <w:rFonts w:hint="eastAsia"/>
        </w:rPr>
        <w:t>按照评价单元及风险点划分结果</w:t>
      </w:r>
      <w:proofErr w:type="gramEnd"/>
      <w:r>
        <w:rPr>
          <w:rFonts w:hint="eastAsia"/>
        </w:rPr>
        <w:t>，对各单元的风险点逐一进行危害因素分析，确保每个风险点的危害因素均得到分析。当评价单元下无须划分风险点时，可以直接分析该单元的危害因素。</w:t>
      </w:r>
    </w:p>
    <w:p w14:paraId="121981F9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int="eastAsia"/>
        </w:rPr>
        <w:t xml:space="preserve">7.2  </w:t>
      </w:r>
      <w:r>
        <w:rPr>
          <w:rFonts w:hint="eastAsia"/>
        </w:rPr>
        <w:t>对各风险点中存在的危害因素应逐一分析并描述</w:t>
      </w:r>
      <w:proofErr w:type="gramEnd"/>
      <w:r>
        <w:rPr>
          <w:rFonts w:hint="eastAsia"/>
        </w:rPr>
        <w:t>，包括危害因素、事件、失控诱因和后果等。</w:t>
      </w:r>
    </w:p>
    <w:p w14:paraId="121981FA" w14:textId="77777777" w:rsidR="00F862B4" w:rsidRDefault="00000000">
      <w:pPr>
        <w:pStyle w:val="ac"/>
      </w:pPr>
      <w:r>
        <w:rPr>
          <w:rFonts w:hint="eastAsia"/>
        </w:rPr>
        <w:t>危害因素描述</w:t>
      </w:r>
    </w:p>
    <w:tbl>
      <w:tblPr>
        <w:tblStyle w:val="affff9"/>
        <w:tblW w:w="9436" w:type="dxa"/>
        <w:tblLayout w:type="fixed"/>
        <w:tblLook w:val="04A0" w:firstRow="1" w:lastRow="0" w:firstColumn="1" w:lastColumn="0" w:noHBand="0" w:noVBand="1"/>
      </w:tblPr>
      <w:tblGrid>
        <w:gridCol w:w="9436"/>
      </w:tblGrid>
      <w:tr w:rsidR="00F862B4" w14:paraId="1219824B" w14:textId="77777777">
        <w:trPr>
          <w:trHeight w:val="556"/>
        </w:trPr>
        <w:tc>
          <w:tcPr>
            <w:tcW w:w="9436" w:type="dxa"/>
          </w:tcPr>
          <w:p w14:paraId="121981FB" w14:textId="77777777" w:rsidR="00F862B4" w:rsidRDefault="00F862B4">
            <w:pPr>
              <w:pStyle w:val="afffff7"/>
              <w:spacing w:line="160" w:lineRule="exact"/>
              <w:ind w:firstLineChars="0" w:firstLine="0"/>
            </w:pPr>
          </w:p>
          <w:tbl>
            <w:tblPr>
              <w:tblStyle w:val="affff9"/>
              <w:tblW w:w="9203" w:type="dxa"/>
              <w:tblLayout w:type="fixed"/>
              <w:tblCellMar>
                <w:left w:w="51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803"/>
              <w:gridCol w:w="3015"/>
              <w:gridCol w:w="708"/>
              <w:gridCol w:w="4677"/>
            </w:tblGrid>
            <w:tr w:rsidR="00F862B4" w14:paraId="121981FE" w14:textId="77777777">
              <w:trPr>
                <w:trHeight w:hRule="exact" w:val="369"/>
              </w:trPr>
              <w:tc>
                <w:tcPr>
                  <w:tcW w:w="803" w:type="dxa"/>
                  <w:vAlign w:val="center"/>
                </w:tcPr>
                <w:p w14:paraId="121981FC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风险点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1FD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喷漆作业</w:t>
                  </w:r>
                </w:p>
              </w:tc>
            </w:tr>
            <w:tr w:rsidR="00F862B4" w14:paraId="12198203" w14:textId="77777777">
              <w:trPr>
                <w:trHeight w:hRule="exact" w:val="369"/>
              </w:trPr>
              <w:tc>
                <w:tcPr>
                  <w:tcW w:w="803" w:type="dxa"/>
                  <w:vAlign w:val="center"/>
                </w:tcPr>
                <w:p w14:paraId="121981F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危害因素</w:t>
                  </w:r>
                </w:p>
              </w:tc>
              <w:tc>
                <w:tcPr>
                  <w:tcW w:w="3015" w:type="dxa"/>
                  <w:vAlign w:val="center"/>
                </w:tcPr>
                <w:p w14:paraId="12198200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可燃液体蒸气积聚</w:t>
                  </w:r>
                </w:p>
              </w:tc>
              <w:tc>
                <w:tcPr>
                  <w:tcW w:w="708" w:type="dxa"/>
                  <w:vAlign w:val="center"/>
                </w:tcPr>
                <w:p w14:paraId="12198201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后果</w:t>
                  </w:r>
                </w:p>
              </w:tc>
              <w:tc>
                <w:tcPr>
                  <w:tcW w:w="4677" w:type="dxa"/>
                  <w:vAlign w:val="center"/>
                </w:tcPr>
                <w:p w14:paraId="12198202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爆燃</w:t>
                  </w:r>
                </w:p>
              </w:tc>
            </w:tr>
            <w:tr w:rsidR="00F862B4" w14:paraId="12198206" w14:textId="77777777">
              <w:trPr>
                <w:trHeight w:hRule="exact" w:val="369"/>
              </w:trPr>
              <w:tc>
                <w:tcPr>
                  <w:tcW w:w="803" w:type="dxa"/>
                  <w:vAlign w:val="center"/>
                </w:tcPr>
                <w:p w14:paraId="12198204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事件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0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可燃液体蒸气积聚达到爆炸极限情况下，遇到点火源，引起爆燃事故。</w:t>
                  </w:r>
                </w:p>
              </w:tc>
            </w:tr>
            <w:tr w:rsidR="00F862B4" w14:paraId="12198208" w14:textId="77777777">
              <w:trPr>
                <w:trHeight w:hRule="exact" w:val="369"/>
              </w:trPr>
              <w:tc>
                <w:tcPr>
                  <w:tcW w:w="9203" w:type="dxa"/>
                  <w:gridSpan w:val="4"/>
                  <w:vAlign w:val="center"/>
                </w:tcPr>
                <w:p w14:paraId="1219820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失控诱因分析</w:t>
                  </w:r>
                </w:p>
              </w:tc>
            </w:tr>
            <w:tr w:rsidR="00F862B4" w14:paraId="1219820B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09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0A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油漆桶敞口保存，油漆容积挥发。</w:t>
                  </w:r>
                </w:p>
              </w:tc>
            </w:tr>
            <w:tr w:rsidR="00F862B4" w14:paraId="1219820E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0C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0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喷漆室风机选型偏小，导致通风不良。</w:t>
                  </w:r>
                </w:p>
              </w:tc>
            </w:tr>
            <w:tr w:rsidR="00F862B4" w14:paraId="12198211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0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1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喷漆时，风机故障停运。</w:t>
                  </w:r>
                </w:p>
              </w:tc>
            </w:tr>
            <w:tr w:rsidR="00F862B4" w14:paraId="12198214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12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13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喷漆作业时未开风机。</w:t>
                  </w:r>
                </w:p>
              </w:tc>
            </w:tr>
            <w:tr w:rsidR="00F862B4" w14:paraId="12198217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1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16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未设置可燃气体检测报警仪，或设置位置、布点不当。</w:t>
                  </w:r>
                </w:p>
              </w:tc>
            </w:tr>
            <w:tr w:rsidR="00F862B4" w14:paraId="1219821A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18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1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可燃气体检测报警仪未定期检测，故障不能及时报警。</w:t>
                  </w:r>
                </w:p>
              </w:tc>
            </w:tr>
            <w:tr w:rsidR="00F862B4" w14:paraId="1219821D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1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1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可燃气体检测报警仪被人为停用。</w:t>
                  </w:r>
                </w:p>
              </w:tc>
            </w:tr>
            <w:tr w:rsidR="00F862B4" w14:paraId="12198220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1E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1F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可燃气体检测报警仪电源故障停用。</w:t>
                  </w:r>
                </w:p>
              </w:tc>
            </w:tr>
            <w:tr w:rsidR="00F862B4" w14:paraId="12198223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21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lastRenderedPageBreak/>
                    <w:t>9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22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可燃气体检测报警仪控制器位置不当，无法观察到报警信号。</w:t>
                  </w:r>
                </w:p>
              </w:tc>
            </w:tr>
            <w:tr w:rsidR="00F862B4" w14:paraId="12198226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24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2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作业人员无视报警信号，危险状态下继续作业。</w:t>
                  </w:r>
                </w:p>
              </w:tc>
            </w:tr>
            <w:tr w:rsidR="00F862B4" w14:paraId="12198229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2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28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爆炸危险区域内有不防爆电气设备或防爆电气设备选型不当。</w:t>
                  </w:r>
                </w:p>
              </w:tc>
            </w:tr>
            <w:tr w:rsidR="00F862B4" w14:paraId="1219822C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2A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2B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爆炸危险区域内金属设备未做等电位连接。</w:t>
                  </w:r>
                </w:p>
              </w:tc>
            </w:tr>
            <w:tr w:rsidR="00F862B4" w14:paraId="1219822F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2D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2E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喷漆房入口缺少人体静电消除措施，或未消除人体静电。</w:t>
                  </w:r>
                </w:p>
              </w:tc>
            </w:tr>
            <w:tr w:rsidR="00F862B4" w14:paraId="12198232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30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3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喷漆房内使用不防爆工具检修时碰撞打火。</w:t>
                  </w:r>
                </w:p>
              </w:tc>
            </w:tr>
            <w:tr w:rsidR="00F862B4" w14:paraId="12198235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3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34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喷漆房内及附近违章动火。</w:t>
                  </w:r>
                </w:p>
              </w:tc>
            </w:tr>
            <w:tr w:rsidR="00F862B4" w14:paraId="12198238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36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37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在喷漆作业场所附近吸烟。</w:t>
                  </w:r>
                </w:p>
              </w:tc>
            </w:tr>
            <w:tr w:rsidR="00F862B4" w14:paraId="1219823B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39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3A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喷漆房遭受雷击。</w:t>
                  </w:r>
                </w:p>
              </w:tc>
            </w:tr>
            <w:tr w:rsidR="00F862B4" w14:paraId="1219823E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3C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3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喷漆房耐火等级不足。</w:t>
                  </w:r>
                </w:p>
              </w:tc>
            </w:tr>
            <w:tr w:rsidR="00F862B4" w14:paraId="12198241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3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4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喷漆房安全出口数量或宽度不足。</w:t>
                  </w:r>
                </w:p>
              </w:tc>
            </w:tr>
            <w:tr w:rsidR="00F862B4" w14:paraId="12198244" w14:textId="77777777">
              <w:trPr>
                <w:trHeight w:hRule="exact" w:val="397"/>
              </w:trPr>
              <w:tc>
                <w:tcPr>
                  <w:tcW w:w="803" w:type="dxa"/>
                  <w:vAlign w:val="center"/>
                </w:tcPr>
                <w:p w14:paraId="12198242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8400" w:type="dxa"/>
                  <w:gridSpan w:val="3"/>
                  <w:vAlign w:val="center"/>
                </w:tcPr>
                <w:p w14:paraId="12198243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喷漆场所未配备消防器材。</w:t>
                  </w:r>
                </w:p>
              </w:tc>
            </w:tr>
            <w:tr w:rsidR="00F862B4" w14:paraId="12198249" w14:textId="77777777">
              <w:trPr>
                <w:trHeight w:hRule="exact" w:val="369"/>
              </w:trPr>
              <w:tc>
                <w:tcPr>
                  <w:tcW w:w="803" w:type="dxa"/>
                  <w:vAlign w:val="center"/>
                </w:tcPr>
                <w:p w14:paraId="1219824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  <w:tc>
                <w:tcPr>
                  <w:tcW w:w="3015" w:type="dxa"/>
                  <w:vAlign w:val="center"/>
                </w:tcPr>
                <w:p w14:paraId="12198246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  <w:tc>
                <w:tcPr>
                  <w:tcW w:w="708" w:type="dxa"/>
                  <w:vAlign w:val="center"/>
                </w:tcPr>
                <w:p w14:paraId="1219824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  <w:tc>
                <w:tcPr>
                  <w:tcW w:w="4677" w:type="dxa"/>
                  <w:vAlign w:val="center"/>
                </w:tcPr>
                <w:p w14:paraId="12198248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</w:tr>
          </w:tbl>
          <w:p w14:paraId="1219824A" w14:textId="77777777" w:rsidR="00F862B4" w:rsidRDefault="00000000">
            <w:pPr>
              <w:pStyle w:val="afffff7"/>
              <w:spacing w:line="160" w:lineRule="exact"/>
              <w:ind w:firstLineChars="0" w:firstLine="0"/>
            </w:pPr>
            <w:r>
              <w:rPr>
                <w:rFonts w:hint="eastAsia"/>
              </w:rPr>
              <w:t>……</w:t>
            </w:r>
          </w:p>
        </w:tc>
      </w:tr>
    </w:tbl>
    <w:p w14:paraId="1219824C" w14:textId="77777777" w:rsidR="00F862B4" w:rsidRDefault="00000000">
      <w:pPr>
        <w:pStyle w:val="afffffffff3"/>
        <w:numPr>
          <w:ilvl w:val="3"/>
          <w:numId w:val="0"/>
        </w:numPr>
        <w:spacing w:beforeLines="100" w:before="312"/>
      </w:pPr>
      <w:proofErr w:type="gramStart"/>
      <w:r>
        <w:rPr>
          <w:rFonts w:ascii="黑体" w:eastAsia="黑体" w:hint="eastAsia"/>
        </w:rPr>
        <w:lastRenderedPageBreak/>
        <w:t xml:space="preserve">7.3  </w:t>
      </w:r>
      <w:r>
        <w:rPr>
          <w:rFonts w:hAnsi="宋体" w:cs="宋体" w:hint="eastAsia"/>
        </w:rPr>
        <w:t>针对</w:t>
      </w:r>
      <w:r>
        <w:rPr>
          <w:rFonts w:hint="eastAsia"/>
        </w:rPr>
        <w:t>各风险点的危害因素失控诱因</w:t>
      </w:r>
      <w:proofErr w:type="gramEnd"/>
      <w:r>
        <w:rPr>
          <w:rFonts w:hint="eastAsia"/>
        </w:rPr>
        <w:t>，确定安全风险管控措施。</w:t>
      </w:r>
    </w:p>
    <w:p w14:paraId="1219824D" w14:textId="77777777" w:rsidR="00F862B4" w:rsidRDefault="00000000">
      <w:pPr>
        <w:pStyle w:val="af2"/>
      </w:pPr>
      <w:r>
        <w:rPr>
          <w:rFonts w:hint="eastAsia"/>
        </w:rPr>
        <w:t>建立危害因素和风险管控措施关系表，并作为安全评价报告附件。</w:t>
      </w:r>
    </w:p>
    <w:p w14:paraId="1219824E" w14:textId="77777777" w:rsidR="00F862B4" w:rsidRDefault="00000000">
      <w:pPr>
        <w:pStyle w:val="af2"/>
      </w:pPr>
      <w:r>
        <w:rPr>
          <w:rFonts w:hint="eastAsia"/>
        </w:rPr>
        <w:t>风险管控措施超出法律法规和技术规范要求时，应说明理由。</w:t>
      </w:r>
    </w:p>
    <w:p w14:paraId="1219824F" w14:textId="77777777" w:rsidR="00F862B4" w:rsidRDefault="00000000">
      <w:pPr>
        <w:pStyle w:val="ac"/>
      </w:pPr>
      <w:r>
        <w:rPr>
          <w:rFonts w:hint="eastAsia"/>
        </w:rPr>
        <w:t>危害因素和风险管控措施关系表</w:t>
      </w:r>
    </w:p>
    <w:tbl>
      <w:tblPr>
        <w:tblStyle w:val="affff9"/>
        <w:tblW w:w="9451" w:type="dxa"/>
        <w:tblLayout w:type="fixed"/>
        <w:tblLook w:val="04A0" w:firstRow="1" w:lastRow="0" w:firstColumn="1" w:lastColumn="0" w:noHBand="0" w:noVBand="1"/>
      </w:tblPr>
      <w:tblGrid>
        <w:gridCol w:w="9451"/>
      </w:tblGrid>
      <w:tr w:rsidR="00F862B4" w14:paraId="121982DC" w14:textId="77777777">
        <w:tc>
          <w:tcPr>
            <w:tcW w:w="9451" w:type="dxa"/>
          </w:tcPr>
          <w:p w14:paraId="12198250" w14:textId="77777777" w:rsidR="00F862B4" w:rsidRDefault="00F862B4">
            <w:pPr>
              <w:widowControl/>
              <w:autoSpaceDE w:val="0"/>
              <w:autoSpaceDN w:val="0"/>
              <w:adjustRightInd/>
              <w:spacing w:line="160" w:lineRule="exact"/>
              <w:rPr>
                <w:rFonts w:ascii="宋体" w:hAnsi="Times New Roman"/>
                <w:kern w:val="0"/>
                <w:szCs w:val="20"/>
              </w:rPr>
            </w:pPr>
          </w:p>
          <w:tbl>
            <w:tblPr>
              <w:tblStyle w:val="affff9"/>
              <w:tblW w:w="9218" w:type="dxa"/>
              <w:jc w:val="center"/>
              <w:tblLayout w:type="fixed"/>
              <w:tblCellMar>
                <w:left w:w="51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9"/>
              <w:gridCol w:w="2648"/>
              <w:gridCol w:w="709"/>
              <w:gridCol w:w="5112"/>
            </w:tblGrid>
            <w:tr w:rsidR="00F862B4" w14:paraId="12198253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51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风险点</w:t>
                  </w:r>
                </w:p>
              </w:tc>
              <w:tc>
                <w:tcPr>
                  <w:tcW w:w="8469" w:type="dxa"/>
                  <w:gridSpan w:val="3"/>
                  <w:vAlign w:val="center"/>
                </w:tcPr>
                <w:p w14:paraId="12198252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喷漆作业</w:t>
                  </w:r>
                </w:p>
              </w:tc>
            </w:tr>
            <w:tr w:rsidR="00F862B4" w14:paraId="12198258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54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危害因素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5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可燃液体蒸气积聚</w:t>
                  </w:r>
                </w:p>
              </w:tc>
              <w:tc>
                <w:tcPr>
                  <w:tcW w:w="709" w:type="dxa"/>
                  <w:vAlign w:val="center"/>
                </w:tcPr>
                <w:p w14:paraId="12198256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后果</w:t>
                  </w:r>
                </w:p>
              </w:tc>
              <w:tc>
                <w:tcPr>
                  <w:tcW w:w="5112" w:type="dxa"/>
                  <w:vAlign w:val="center"/>
                </w:tcPr>
                <w:p w14:paraId="1219825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爆燃</w:t>
                  </w:r>
                </w:p>
              </w:tc>
            </w:tr>
            <w:tr w:rsidR="00F862B4" w14:paraId="1219825B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59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事件</w:t>
                  </w:r>
                </w:p>
              </w:tc>
              <w:tc>
                <w:tcPr>
                  <w:tcW w:w="8469" w:type="dxa"/>
                  <w:gridSpan w:val="3"/>
                  <w:vAlign w:val="center"/>
                </w:tcPr>
                <w:p w14:paraId="1219825A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可燃液体蒸气积聚达到爆炸极限情况下，遇到点火源，引起爆燃事故。</w:t>
                  </w:r>
                </w:p>
              </w:tc>
            </w:tr>
            <w:tr w:rsidR="00F862B4" w14:paraId="1219825E" w14:textId="77777777">
              <w:trPr>
                <w:trHeight w:val="20"/>
                <w:jc w:val="center"/>
              </w:trPr>
              <w:tc>
                <w:tcPr>
                  <w:tcW w:w="3397" w:type="dxa"/>
                  <w:gridSpan w:val="2"/>
                  <w:vAlign w:val="center"/>
                </w:tcPr>
                <w:p w14:paraId="1219825C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失控诱因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5D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风险管控措施</w:t>
                  </w:r>
                </w:p>
              </w:tc>
            </w:tr>
            <w:tr w:rsidR="00F862B4" w14:paraId="12198262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5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6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油漆桶敞口保存，油漆容积挥发。</w:t>
                  </w:r>
                </w:p>
              </w:tc>
              <w:tc>
                <w:tcPr>
                  <w:tcW w:w="5821" w:type="dxa"/>
                  <w:gridSpan w:val="2"/>
                </w:tcPr>
                <w:p w14:paraId="1219826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油漆桶保持密闭。</w:t>
                  </w:r>
                </w:p>
              </w:tc>
            </w:tr>
            <w:tr w:rsidR="00F862B4" w14:paraId="12198266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6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64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喷漆室风机选型偏小，导致通风不良。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6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风机风量不低于×m³/h，罩口风速不低于0.75m/s。</w:t>
                  </w:r>
                </w:p>
              </w:tc>
            </w:tr>
            <w:tr w:rsidR="00F862B4" w14:paraId="1219826A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6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68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喷漆时，风机故障停运。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6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喷漆设备和风机联锁，风机故障时，喷漆设备不启动。</w:t>
                  </w:r>
                </w:p>
              </w:tc>
            </w:tr>
            <w:tr w:rsidR="00F862B4" w14:paraId="1219826E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6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6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喷漆作业时未开风机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6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喷漆设备和风机联锁，风机未启动时，喷漆设备不启动。</w:t>
                  </w:r>
                </w:p>
              </w:tc>
            </w:tr>
            <w:tr w:rsidR="00F862B4" w14:paraId="12198272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6F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70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71" w14:textId="77777777" w:rsidR="00F862B4" w:rsidRDefault="00000000">
                  <w:pPr>
                    <w:adjustRightInd/>
                    <w:spacing w:line="30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喷漆作业前提前5min开启通风设备，喷漆作业结束后保持风机继续运行10min；并将该要求写入操作规程。</w:t>
                  </w:r>
                </w:p>
              </w:tc>
            </w:tr>
            <w:tr w:rsidR="00F862B4" w14:paraId="12198276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7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74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未设置可燃气体检测报警仪，或设置位置、布点不当。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7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喷漆房安装可燃气体检测报警仪，其探头离地高度保持0.3-0.6m，并与风机、喷漆设备联锁，距离释放源不大于5m，且应在喷漆房内。</w:t>
                  </w:r>
                </w:p>
              </w:tc>
            </w:tr>
            <w:tr w:rsidR="00F862B4" w14:paraId="1219827A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7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78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可燃气体检测报警仪未定期检测，故障不能及时报警。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7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可燃气体检测报警仪报警仪每年检定，在探头上张贴检定合格标签。</w:t>
                  </w:r>
                </w:p>
              </w:tc>
            </w:tr>
            <w:tr w:rsidR="00F862B4" w14:paraId="1219827E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7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7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可燃气体检测报警仪被人为停用。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7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对可燃气体检测报警仪管理人员进行培训，确保其掌握相关要求。</w:t>
                  </w:r>
                </w:p>
              </w:tc>
            </w:tr>
            <w:tr w:rsidR="00F862B4" w14:paraId="12198282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7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8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可燃气体检测报警仪电源故障停用。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8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设置可燃气体检测报警仪电源故障报警信号。</w:t>
                  </w:r>
                </w:p>
              </w:tc>
            </w:tr>
            <w:tr w:rsidR="00F862B4" w14:paraId="12198286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83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84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8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可燃气体检测报警仪设置备用电源；当主电源断电时，能自动转换到备用电源；主电源恢复时，能自动转换到主电源。</w:t>
                  </w:r>
                </w:p>
              </w:tc>
            </w:tr>
            <w:tr w:rsidR="00F862B4" w14:paraId="1219828A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8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88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可燃气体检测报警仪控制器位置不当，无法观察到报警信号。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8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可燃气体检测报警仪控制器设置在有人值守的场所。</w:t>
                  </w:r>
                </w:p>
              </w:tc>
            </w:tr>
            <w:tr w:rsidR="00F862B4" w14:paraId="1219828E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8B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8C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8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选用带数显和现场声光报警功能的可燃气体检测报警仪探头。</w:t>
                  </w:r>
                </w:p>
              </w:tc>
            </w:tr>
            <w:tr w:rsidR="00F862B4" w14:paraId="12198292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8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lastRenderedPageBreak/>
                    <w:t>10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9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作业人员无视报警信号，危险状态下继续作业。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9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可燃气体高浓度报警时，立即停止喷涂作业，检查原因，并采取可靠措施后，方可继续作业；并将该要求写入喷涂操作规程。</w:t>
                  </w:r>
                </w:p>
              </w:tc>
            </w:tr>
            <w:tr w:rsidR="00F862B4" w14:paraId="12198296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93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94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9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对从业人员进行安全教育，使其明白可燃气体报警信号的含义。</w:t>
                  </w:r>
                </w:p>
              </w:tc>
            </w:tr>
            <w:tr w:rsidR="00F862B4" w14:paraId="1219829A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9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98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爆炸危险区域内有不防爆电气设备或防爆电气设备选型不当。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9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喷漆房电气选型应根据其所在环境，喷漆使用的油漆及稀释剂成分确定。</w:t>
                  </w:r>
                </w:p>
              </w:tc>
            </w:tr>
            <w:tr w:rsidR="00F862B4" w14:paraId="1219829E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9B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9C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9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防爆电气设备安装应符合GB50058等技术标准要求。</w:t>
                  </w:r>
                </w:p>
              </w:tc>
            </w:tr>
            <w:tr w:rsidR="00F862B4" w14:paraId="121982A2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9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A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爆炸危险区域内金属设备未做等电位连接。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A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爆炸危险区域内的金属设备外壳均应做等电位连接。</w:t>
                  </w:r>
                </w:p>
              </w:tc>
            </w:tr>
            <w:tr w:rsidR="00F862B4" w14:paraId="121982A6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A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A4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喷漆房入口缺少人体静电消除措施，或未消除人体静电。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A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喷漆房入口应设置人体静电消除装置，人员进入前必须消除静电。</w:t>
                  </w:r>
                </w:p>
              </w:tc>
            </w:tr>
            <w:tr w:rsidR="00F862B4" w14:paraId="121982AA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A7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A8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A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为喷漆工作人员配发全棉工作服。</w:t>
                  </w:r>
                </w:p>
              </w:tc>
            </w:tr>
            <w:tr w:rsidR="00F862B4" w14:paraId="121982AE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A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A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喷漆房内使用不防爆工具检修时碰撞打火。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A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喷漆房内禁止使用铁质工具，并将其写入操作规程。</w:t>
                  </w:r>
                </w:p>
              </w:tc>
            </w:tr>
            <w:tr w:rsidR="00F862B4" w14:paraId="121982B2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A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B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喷漆房内及附近违章动火。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B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喷漆房入口设置“严禁烟火”等警示标志。</w:t>
                  </w:r>
                </w:p>
              </w:tc>
            </w:tr>
            <w:tr w:rsidR="00F862B4" w14:paraId="121982B6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B3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B4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B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建立动火作业管理制度，喷漆房动火必须采取安全措施，执行动火作业管理手续。</w:t>
                  </w:r>
                </w:p>
              </w:tc>
            </w:tr>
            <w:tr w:rsidR="00F862B4" w14:paraId="121982BA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B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B8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在喷漆作业场所附近吸烟。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B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在喷漆房入口设置禁火标志，划定禁火区。</w:t>
                  </w:r>
                </w:p>
              </w:tc>
            </w:tr>
            <w:tr w:rsidR="00F862B4" w14:paraId="121982BE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B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B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喷漆房遭受雷击。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B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喷漆房按照二类防雷建筑物设置防雷设施。</w:t>
                  </w:r>
                </w:p>
              </w:tc>
            </w:tr>
            <w:tr w:rsidR="00F862B4" w14:paraId="121982C2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BF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C0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C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每半年对防雷设施进行一次检测，确保合格。</w:t>
                  </w:r>
                </w:p>
              </w:tc>
            </w:tr>
            <w:tr w:rsidR="00F862B4" w14:paraId="121982C6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C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C4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喷漆房耐火等级不足。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C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喷漆房的墙体、天花板、地坪，喷漆室的室体及与其相连的送风、排风管道应用不燃、难燃材料或组件建造。</w:t>
                  </w:r>
                </w:p>
              </w:tc>
            </w:tr>
            <w:tr w:rsidR="00F862B4" w14:paraId="121982CA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C7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C8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C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铝材不应用作喷漆室或喷漆房的结构支撑件、室体、排风管道。</w:t>
                  </w:r>
                </w:p>
              </w:tc>
            </w:tr>
            <w:tr w:rsidR="00F862B4" w14:paraId="121982CE" w14:textId="77777777">
              <w:trPr>
                <w:trHeight w:val="20"/>
                <w:jc w:val="center"/>
              </w:trPr>
              <w:tc>
                <w:tcPr>
                  <w:tcW w:w="749" w:type="dxa"/>
                  <w:vMerge w:val="restart"/>
                  <w:vAlign w:val="center"/>
                </w:tcPr>
                <w:p w14:paraId="121982C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2648" w:type="dxa"/>
                  <w:vMerge w:val="restart"/>
                  <w:vAlign w:val="center"/>
                </w:tcPr>
                <w:p w14:paraId="121982C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喷漆房安全出口数量或宽度不足。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C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室内任何操作位置至作业人员出口应畅通无阻，须设置一个或多个安全门。</w:t>
                  </w:r>
                </w:p>
              </w:tc>
            </w:tr>
            <w:tr w:rsidR="00F862B4" w14:paraId="121982D2" w14:textId="77777777">
              <w:trPr>
                <w:trHeight w:val="20"/>
                <w:jc w:val="center"/>
              </w:trPr>
              <w:tc>
                <w:tcPr>
                  <w:tcW w:w="749" w:type="dxa"/>
                  <w:vMerge/>
                  <w:vAlign w:val="center"/>
                </w:tcPr>
                <w:p w14:paraId="121982CF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2648" w:type="dxa"/>
                  <w:vMerge/>
                  <w:vAlign w:val="center"/>
                </w:tcPr>
                <w:p w14:paraId="121982D0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D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安全出口宽度应不小于</w:t>
                  </w:r>
                  <w:proofErr w:type="gramStart"/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0．9 m</w:t>
                  </w:r>
                  <w:proofErr w:type="gramEnd"/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，门应向外开，保证人员安全撤离。</w:t>
                  </w:r>
                </w:p>
              </w:tc>
            </w:tr>
            <w:tr w:rsidR="00F862B4" w14:paraId="121982D6" w14:textId="77777777">
              <w:trPr>
                <w:trHeight w:val="20"/>
                <w:jc w:val="center"/>
              </w:trPr>
              <w:tc>
                <w:tcPr>
                  <w:tcW w:w="749" w:type="dxa"/>
                  <w:vAlign w:val="center"/>
                </w:tcPr>
                <w:p w14:paraId="121982D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D4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喷漆场所未配备消防器材。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D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喷漆场所配备不少于89B灭火器，且手提式灭火器保护距离不应超过9m，推车式灭火器不超过18m。</w:t>
                  </w:r>
                </w:p>
              </w:tc>
            </w:tr>
            <w:tr w:rsidR="00F862B4" w14:paraId="121982DA" w14:textId="77777777">
              <w:trPr>
                <w:trHeight w:val="20"/>
                <w:jc w:val="center"/>
              </w:trPr>
              <w:tc>
                <w:tcPr>
                  <w:tcW w:w="749" w:type="dxa"/>
                </w:tcPr>
                <w:p w14:paraId="121982D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  <w:tc>
                <w:tcPr>
                  <w:tcW w:w="2648" w:type="dxa"/>
                  <w:vAlign w:val="center"/>
                </w:tcPr>
                <w:p w14:paraId="121982D8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  <w:tc>
                <w:tcPr>
                  <w:tcW w:w="5821" w:type="dxa"/>
                  <w:gridSpan w:val="2"/>
                  <w:vAlign w:val="center"/>
                </w:tcPr>
                <w:p w14:paraId="121982D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……</w:t>
                  </w:r>
                </w:p>
              </w:tc>
            </w:tr>
          </w:tbl>
          <w:p w14:paraId="121982DB" w14:textId="77777777" w:rsidR="00F862B4" w:rsidRDefault="00000000">
            <w:pPr>
              <w:widowControl/>
              <w:autoSpaceDE w:val="0"/>
              <w:autoSpaceDN w:val="0"/>
              <w:adjustRightInd/>
              <w:spacing w:line="160" w:lineRule="exact"/>
              <w:rPr>
                <w:rFonts w:ascii="宋体" w:hAnsi="Times New Roman"/>
                <w:kern w:val="0"/>
                <w:szCs w:val="20"/>
              </w:rPr>
            </w:pPr>
            <w:r>
              <w:rPr>
                <w:rFonts w:ascii="宋体" w:hAnsi="Times New Roman" w:hint="eastAsia"/>
                <w:kern w:val="0"/>
                <w:szCs w:val="20"/>
              </w:rPr>
              <w:t>……</w:t>
            </w:r>
          </w:p>
        </w:tc>
      </w:tr>
    </w:tbl>
    <w:p w14:paraId="121982DD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int="eastAsia"/>
        </w:rPr>
        <w:lastRenderedPageBreak/>
        <w:t xml:space="preserve">7.4  </w:t>
      </w:r>
      <w:r>
        <w:rPr>
          <w:rFonts w:hAnsi="宋体" w:cs="宋体" w:hint="eastAsia"/>
        </w:rPr>
        <w:t>对</w:t>
      </w:r>
      <w:r>
        <w:rPr>
          <w:rFonts w:hint="eastAsia"/>
        </w:rPr>
        <w:t>涂装企业涉及的化学品进行分析和分类</w:t>
      </w:r>
      <w:proofErr w:type="gramEnd"/>
      <w:r>
        <w:rPr>
          <w:rFonts w:hint="eastAsia"/>
        </w:rPr>
        <w:t>，包括火灾危险类别、危险性类别，以及是否属于剧毒化学品、高毒物品、重点监管危险化学品、易制毒化学品、易制爆危险化学品、监控化学品、特别管控危险化学品；属于危险化学品的，明确危险化学品目录序号。</w:t>
      </w:r>
    </w:p>
    <w:p w14:paraId="121982DE" w14:textId="77777777" w:rsidR="00F862B4" w:rsidRDefault="00000000">
      <w:pPr>
        <w:pStyle w:val="afffff7"/>
        <w:ind w:firstLineChars="0" w:firstLine="0"/>
      </w:pPr>
      <w:proofErr w:type="gramStart"/>
      <w:r>
        <w:rPr>
          <w:rFonts w:ascii="黑体" w:eastAsia="黑体" w:hint="eastAsia"/>
        </w:rPr>
        <w:t xml:space="preserve">7.5  </w:t>
      </w:r>
      <w:r>
        <w:rPr>
          <w:rFonts w:hint="eastAsia"/>
        </w:rPr>
        <w:t>根据</w:t>
      </w:r>
      <w:proofErr w:type="gramEnd"/>
      <w:r>
        <w:rPr>
          <w:rFonts w:hint="eastAsia"/>
        </w:rPr>
        <w:t>《危险化学品重大危险源辨识》（GB18218）对企业生产、储存场所进行重大危险源辨识，构成危险化学品重大危害因素的，按照标准进行重大危害因素分级。</w:t>
      </w:r>
    </w:p>
    <w:p w14:paraId="121982DF" w14:textId="77777777" w:rsidR="00F862B4" w:rsidRDefault="00000000">
      <w:pPr>
        <w:pStyle w:val="affd"/>
        <w:spacing w:before="312" w:after="312"/>
      </w:pPr>
      <w:bookmarkStart w:id="61" w:name="_Toc16536"/>
      <w:bookmarkStart w:id="62" w:name="_Toc207880759"/>
      <w:r>
        <w:rPr>
          <w:rFonts w:hint="eastAsia"/>
        </w:rPr>
        <w:t>定性定量评价</w:t>
      </w:r>
      <w:bookmarkEnd w:id="61"/>
      <w:bookmarkEnd w:id="62"/>
    </w:p>
    <w:p w14:paraId="121982E0" w14:textId="77777777" w:rsidR="00F862B4" w:rsidRDefault="00000000">
      <w:pPr>
        <w:pStyle w:val="affe"/>
        <w:numPr>
          <w:ilvl w:val="2"/>
          <w:numId w:val="0"/>
        </w:numPr>
        <w:spacing w:before="156" w:after="156"/>
      </w:pPr>
      <w:bookmarkStart w:id="63" w:name="_Toc6863"/>
      <w:proofErr w:type="gramStart"/>
      <w:r>
        <w:rPr>
          <w:rFonts w:hint="eastAsia"/>
        </w:rPr>
        <w:t>8.1  评价方法</w:t>
      </w:r>
      <w:proofErr w:type="gramEnd"/>
      <w:r>
        <w:rPr>
          <w:rFonts w:hint="eastAsia"/>
        </w:rPr>
        <w:t>/准则选择</w:t>
      </w:r>
      <w:bookmarkEnd w:id="63"/>
    </w:p>
    <w:p w14:paraId="121982E1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8.1.1 </w:t>
      </w:r>
      <w:r>
        <w:rPr>
          <w:rFonts w:hint="eastAsia"/>
        </w:rPr>
        <w:t xml:space="preserve"> 定性或定量评价方法的选择应合理</w:t>
      </w:r>
      <w:proofErr w:type="gramEnd"/>
      <w:r>
        <w:rPr>
          <w:rFonts w:hint="eastAsia"/>
        </w:rPr>
        <w:t>、适用，选择理由明确。</w:t>
      </w:r>
    </w:p>
    <w:p w14:paraId="121982E2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8.1.2 </w:t>
      </w:r>
      <w:r>
        <w:rPr>
          <w:rFonts w:hint="eastAsia"/>
        </w:rPr>
        <w:t xml:space="preserve"> 评价方法选择应逐层递进</w:t>
      </w:r>
      <w:proofErr w:type="gramEnd"/>
      <w:r>
        <w:rPr>
          <w:rFonts w:hint="eastAsia"/>
        </w:rPr>
        <w:t>。如可能，高后果危害因素可选择定量分析方法评价。</w:t>
      </w:r>
    </w:p>
    <w:p w14:paraId="121982E3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8.1.3  </w:t>
      </w:r>
      <w:r>
        <w:rPr>
          <w:rFonts w:hint="eastAsia"/>
        </w:rPr>
        <w:t>评价准则来源应可靠</w:t>
      </w:r>
      <w:proofErr w:type="gramEnd"/>
      <w:r>
        <w:rPr>
          <w:rFonts w:hint="eastAsia"/>
        </w:rPr>
        <w:t>，选择应具有适用性和科学性。</w:t>
      </w:r>
    </w:p>
    <w:p w14:paraId="121982E4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8.1.4  </w:t>
      </w:r>
      <w:r>
        <w:rPr>
          <w:rFonts w:hint="eastAsia"/>
        </w:rPr>
        <w:t>评价准则应包括风险可接受准则</w:t>
      </w:r>
      <w:proofErr w:type="gramEnd"/>
      <w:r>
        <w:rPr>
          <w:rFonts w:hint="eastAsia"/>
        </w:rPr>
        <w:t>。</w:t>
      </w:r>
    </w:p>
    <w:p w14:paraId="121982E5" w14:textId="77777777" w:rsidR="00F862B4" w:rsidRDefault="00000000">
      <w:pPr>
        <w:pStyle w:val="affe"/>
        <w:numPr>
          <w:ilvl w:val="2"/>
          <w:numId w:val="0"/>
        </w:numPr>
        <w:spacing w:before="156" w:after="156"/>
      </w:pPr>
      <w:bookmarkStart w:id="64" w:name="_Toc215"/>
      <w:proofErr w:type="gramStart"/>
      <w:r>
        <w:rPr>
          <w:rFonts w:hint="eastAsia"/>
        </w:rPr>
        <w:t>8.2  符合性评价</w:t>
      </w:r>
      <w:bookmarkEnd w:id="64"/>
      <w:proofErr w:type="gramEnd"/>
    </w:p>
    <w:p w14:paraId="121982E6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8.2.1  </w:t>
      </w:r>
      <w:r>
        <w:rPr>
          <w:rFonts w:hint="eastAsia"/>
        </w:rPr>
        <w:t>符合性评价应选用检查表法</w:t>
      </w:r>
      <w:proofErr w:type="gramEnd"/>
      <w:r>
        <w:rPr>
          <w:rFonts w:hint="eastAsia"/>
        </w:rPr>
        <w:t>，对每个评价单元逐一检查评价。</w:t>
      </w:r>
    </w:p>
    <w:p w14:paraId="121982E7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8.2.2  </w:t>
      </w:r>
      <w:r>
        <w:rPr>
          <w:rFonts w:hint="eastAsia"/>
        </w:rPr>
        <w:t>风险点安全风险管控措施应逐一检查其落实情况</w:t>
      </w:r>
      <w:proofErr w:type="gramEnd"/>
      <w:r>
        <w:rPr>
          <w:rFonts w:hint="eastAsia"/>
        </w:rPr>
        <w:t>。</w:t>
      </w:r>
    </w:p>
    <w:p w14:paraId="121982E8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lastRenderedPageBreak/>
        <w:t xml:space="preserve">8.2.3  </w:t>
      </w:r>
      <w:r>
        <w:rPr>
          <w:rFonts w:hint="eastAsia"/>
        </w:rPr>
        <w:t>同一风险点下相同控制措施应合并检查</w:t>
      </w:r>
      <w:proofErr w:type="gramEnd"/>
      <w:r>
        <w:rPr>
          <w:rFonts w:hint="eastAsia"/>
        </w:rPr>
        <w:t>，不同风险点共有的风险管控措施可合并检查，但检查应涵盖所有风险管控措施。</w:t>
      </w:r>
    </w:p>
    <w:p w14:paraId="121982E9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8.2.4  </w:t>
      </w:r>
      <w:r>
        <w:rPr>
          <w:rFonts w:hint="eastAsia"/>
        </w:rPr>
        <w:t>安全风险控制措施缺失</w:t>
      </w:r>
      <w:proofErr w:type="gramEnd"/>
      <w:r>
        <w:rPr>
          <w:rFonts w:hint="eastAsia"/>
        </w:rPr>
        <w:t>、失效或缺陷时，应列出安全隐患清单，提出整改建议措施，通报被评价企业。</w:t>
      </w:r>
    </w:p>
    <w:p w14:paraId="121982EA" w14:textId="77777777" w:rsidR="00F862B4" w:rsidRDefault="00F862B4">
      <w:pPr>
        <w:pStyle w:val="afffffffff3"/>
        <w:numPr>
          <w:ilvl w:val="3"/>
          <w:numId w:val="0"/>
        </w:numPr>
      </w:pPr>
    </w:p>
    <w:p w14:paraId="121982EB" w14:textId="77777777" w:rsidR="00F862B4" w:rsidRDefault="00000000">
      <w:pPr>
        <w:pStyle w:val="ac"/>
      </w:pPr>
      <w:r>
        <w:rPr>
          <w:rFonts w:hint="eastAsia"/>
        </w:rPr>
        <w:t>安全检查表</w:t>
      </w:r>
    </w:p>
    <w:tbl>
      <w:tblPr>
        <w:tblStyle w:val="affff9"/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F862B4" w14:paraId="121983A4" w14:textId="77777777">
        <w:tc>
          <w:tcPr>
            <w:tcW w:w="9570" w:type="dxa"/>
          </w:tcPr>
          <w:p w14:paraId="121982EC" w14:textId="77777777" w:rsidR="00F862B4" w:rsidRDefault="00000000">
            <w:pPr>
              <w:widowControl/>
              <w:autoSpaceDE w:val="0"/>
              <w:autoSpaceDN w:val="0"/>
              <w:adjustRightInd/>
              <w:spacing w:line="160" w:lineRule="exact"/>
              <w:rPr>
                <w:rFonts w:ascii="宋体" w:hAnsi="Times New Roman"/>
                <w:kern w:val="0"/>
                <w:szCs w:val="20"/>
              </w:rPr>
            </w:pPr>
            <w:r>
              <w:rPr>
                <w:rFonts w:ascii="宋体" w:hAnsi="Times New Roman" w:hint="eastAsia"/>
                <w:kern w:val="0"/>
                <w:szCs w:val="20"/>
              </w:rPr>
              <w:t>……</w:t>
            </w:r>
          </w:p>
          <w:tbl>
            <w:tblPr>
              <w:tblStyle w:val="affff9"/>
              <w:tblW w:w="9344" w:type="dxa"/>
              <w:tblLayout w:type="fixed"/>
              <w:tblCellMar>
                <w:left w:w="51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5103"/>
              <w:gridCol w:w="2093"/>
              <w:gridCol w:w="840"/>
              <w:gridCol w:w="746"/>
            </w:tblGrid>
            <w:tr w:rsidR="00F862B4" w14:paraId="121982F2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2ED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序号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2EE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检查项目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2E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依据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2F0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检查结果</w:t>
                  </w:r>
                </w:p>
              </w:tc>
              <w:tc>
                <w:tcPr>
                  <w:tcW w:w="746" w:type="dxa"/>
                  <w:vAlign w:val="center"/>
                </w:tcPr>
                <w:p w14:paraId="121982F1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是否符合</w:t>
                  </w:r>
                </w:p>
              </w:tc>
            </w:tr>
            <w:tr w:rsidR="00F862B4" w14:paraId="121982F4" w14:textId="77777777">
              <w:trPr>
                <w:trHeight w:val="20"/>
              </w:trPr>
              <w:tc>
                <w:tcPr>
                  <w:tcW w:w="9344" w:type="dxa"/>
                  <w:gridSpan w:val="5"/>
                  <w:vAlign w:val="center"/>
                </w:tcPr>
                <w:p w14:paraId="121982F3" w14:textId="77777777" w:rsidR="00F862B4" w:rsidRDefault="00000000">
                  <w:pPr>
                    <w:adjustRightInd/>
                    <w:spacing w:line="240" w:lineRule="auto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风险点：喷漆作业</w:t>
                  </w:r>
                </w:p>
              </w:tc>
            </w:tr>
            <w:tr w:rsidR="00F862B4" w14:paraId="121982FA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2F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2F6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油漆桶保持密闭。</w:t>
                  </w:r>
                </w:p>
              </w:tc>
              <w:tc>
                <w:tcPr>
                  <w:tcW w:w="2093" w:type="dxa"/>
                </w:tcPr>
                <w:p w14:paraId="121982F7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AQ5024-2008第6.4.7条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2F8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2F9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00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2F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2F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风机风量不低于×m³/h，罩口风速不低于0.75m/s。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2F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GB14444-2006第8.1、8.2条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2FE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2FF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06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01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02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喷漆设备和风机联锁，风机未启动或故障时，喷漆设备不启动。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03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GB14444-2006第13.3条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04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05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0C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0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08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喷漆作业前提前5min开启通风设备，喷漆作业结束后保持风机继续运行10min；并将该要求写入操作规程。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0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GB6514-2023第4.4.1条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0A" w14:textId="77777777" w:rsidR="00F862B4" w:rsidRDefault="00F862B4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0B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12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0D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0E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喷漆房安装可燃气体检测报警仪，其探头离地高度保持0.3-0.6m，并与风机、喷漆设备联锁，距离释放源不大于5m，且应在喷漆房内。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0F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GB14444-2006第5.10条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10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11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18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1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14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可燃气体检测报警仪报警仪每年检定，在探头上张贴检定合格标签。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1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JJG693-2011第5.5条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16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17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1E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19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1A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对可燃气体检测报警仪管理人员进行培训，确保其掌握相关要求。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1B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GB14444-2006第13.2条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1C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1D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24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1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2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设置可燃气体检测报警仪电源故障报警信号。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2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GB16808-2008第4.1.4条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22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23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2A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2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26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可燃气体检测报警仪设置备用电源；当主电源断电时，能自动转换到备用电源；主电源恢复时，能自动转换到主电源。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27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GB16808-2008第4.1.7条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28" w14:textId="77777777" w:rsidR="00F862B4" w:rsidRDefault="00F862B4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29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30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2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2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可燃气体检测报警仪控制器设置在有人值守的场所。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2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GB/T50493-2019第3.0.3条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2E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2F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36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31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32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选用带数显和现场声光报警功能的可燃气体检测报警仪探头。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33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GB/T50493-2019第5.3.3条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34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35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3C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3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38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可燃气体高浓度报警时，立即停止喷涂作业，检查原因，并采取可靠措施后，方可继续作业；并将该要求写入喷涂操作规程。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39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报警时，可燃气体浓度较高，存在现实风险，为避免浓度继续升高，需停止作业。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3A" w14:textId="77777777" w:rsidR="00F862B4" w:rsidRDefault="00F862B4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3B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42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3D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3E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对从业人员进行安全教育，使其明白可燃气体报警信号的含义。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3F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GB14444-2006第13.2条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40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41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48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4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44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喷漆房电气选型应根据其所在环境，喷漆使用的油漆及稀释剂成分确定。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4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AQ5201-2007第8.1条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46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47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4E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49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4A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防爆电气设备安装应符合GB50058等技术标准要求。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4B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AQ5201-2007第8.1条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4C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4D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54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4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5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爆炸危险区域内的金属设备外壳均应做等电位连接。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5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GB14444-2006第12.1条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52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53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5A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5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56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喷漆房入口应设置人体静电消除装置，人员进入前必须消除静电。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57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GB14444-2006第12.1条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58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59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60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5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5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为喷漆工作人员配发全棉工作服。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5D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GB39800.1-2020第4.3条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5E" w14:textId="77777777" w:rsidR="00F862B4" w:rsidRDefault="00F862B4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5F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66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61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62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喷漆房内禁止使用铁质工具，并将其写入操作规程。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63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铁质工具碰撞可能产生火花，存在现实风险，故禁用。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64" w14:textId="77777777" w:rsidR="00F862B4" w:rsidRDefault="00F862B4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65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6C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6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68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喷漆房入口设置“严禁烟火”等警示标志。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6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GB15630-1995第5.12条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6A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6B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72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6D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6E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建立动火作业管理制度，喷漆房动火必须采取安全措施，执行动火作业管理手续。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6F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《冶金等工贸企业安全生产标准化基本规范评分细则》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70" w14:textId="77777777" w:rsidR="00F862B4" w:rsidRDefault="00F862B4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71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78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73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74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喷漆房按照二类防雷建筑物设置防雷设施。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75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GB50057-2010第3.0.2条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76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77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7E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79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23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7A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每半年对防雷设施进行一次检测，确保合格。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7B" w14:textId="77777777" w:rsidR="00F862B4" w:rsidRDefault="00000000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《防雷减灾管理办法》第十九条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7C" w14:textId="77777777" w:rsidR="00F862B4" w:rsidRDefault="00F862B4">
                  <w:pPr>
                    <w:adjustRightInd/>
                    <w:spacing w:line="240" w:lineRule="exact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7D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84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7F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80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喷漆房的墙体、天花板、地坪，喷漆室的室体及与其相连的送风、排风管道应用不燃、难燃材料或组件建造。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81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GB14444-2006第7.1.1条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82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83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8A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85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86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铝材不应用作喷漆室或喷漆房的结构支撑件、室体、排风管道。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87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GB14444-2006第7.1.3条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88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89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90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8B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27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8C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室内任何操作位置至作业人员出口应畅通无阻，须设置一个或多个安全门。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8D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GB14444-2006第7.5条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8E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8F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96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91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92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安全出口宽度应不小于</w:t>
                  </w:r>
                  <w:proofErr w:type="gramStart"/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0．9 m</w:t>
                  </w:r>
                  <w:proofErr w:type="gramEnd"/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，门应向外开，保证人员安全撤离。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93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GB14444-2006第7.5条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94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95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9C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97" w14:textId="77777777" w:rsidR="00F862B4" w:rsidRDefault="00000000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lastRenderedPageBreak/>
                    <w:t>29</w:t>
                  </w:r>
                </w:p>
              </w:tc>
              <w:tc>
                <w:tcPr>
                  <w:tcW w:w="5103" w:type="dxa"/>
                  <w:vAlign w:val="center"/>
                </w:tcPr>
                <w:p w14:paraId="12198398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喷漆场所配备不少于89B灭火器，且手提式灭火器保护距离不应超过9m，推车式灭火器不超过18m。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198399" w14:textId="77777777" w:rsidR="00F862B4" w:rsidRDefault="00000000">
                  <w:pPr>
                    <w:adjustRightInd/>
                    <w:spacing w:line="240" w:lineRule="auto"/>
                    <w:jc w:val="left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GB50140-2005第5.2.2条</w:t>
                  </w:r>
                </w:p>
              </w:tc>
              <w:tc>
                <w:tcPr>
                  <w:tcW w:w="840" w:type="dxa"/>
                  <w:vAlign w:val="center"/>
                </w:tcPr>
                <w:p w14:paraId="1219839A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9B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  <w:tr w:rsidR="00F862B4" w14:paraId="121983A2" w14:textId="77777777">
              <w:trPr>
                <w:trHeight w:val="20"/>
              </w:trPr>
              <w:tc>
                <w:tcPr>
                  <w:tcW w:w="562" w:type="dxa"/>
                  <w:vAlign w:val="center"/>
                </w:tcPr>
                <w:p w14:paraId="1219839D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14:paraId="1219839E" w14:textId="77777777" w:rsidR="00F862B4" w:rsidRDefault="00F862B4">
                  <w:pPr>
                    <w:adjustRightInd/>
                    <w:spacing w:line="240" w:lineRule="auto"/>
                    <w:rPr>
                      <w:rFonts w:ascii="宋体" w:hAnsi="宋体" w:cs="宋体" w:hint="eastAsia"/>
                      <w:bCs/>
                    </w:rPr>
                  </w:pPr>
                </w:p>
              </w:tc>
              <w:tc>
                <w:tcPr>
                  <w:tcW w:w="2093" w:type="dxa"/>
                  <w:vAlign w:val="center"/>
                </w:tcPr>
                <w:p w14:paraId="1219839F" w14:textId="77777777" w:rsidR="00F862B4" w:rsidRDefault="00F862B4">
                  <w:pPr>
                    <w:adjustRightInd/>
                    <w:spacing w:line="240" w:lineRule="auto"/>
                    <w:rPr>
                      <w:rFonts w:ascii="宋体" w:hAnsi="宋体" w:cs="宋体" w:hint="eastAsia"/>
                      <w:bCs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14:paraId="121983A0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14:paraId="121983A1" w14:textId="77777777" w:rsidR="00F862B4" w:rsidRDefault="00F862B4">
                  <w:pPr>
                    <w:adjustRightInd/>
                    <w:spacing w:line="240" w:lineRule="auto"/>
                    <w:jc w:val="center"/>
                    <w:rPr>
                      <w:rFonts w:ascii="宋体" w:hAnsi="宋体" w:cs="宋体" w:hint="eastAsia"/>
                      <w:sz w:val="15"/>
                      <w:szCs w:val="15"/>
                    </w:rPr>
                  </w:pPr>
                </w:p>
              </w:tc>
            </w:tr>
          </w:tbl>
          <w:p w14:paraId="121983A3" w14:textId="77777777" w:rsidR="00F862B4" w:rsidRDefault="00000000">
            <w:pPr>
              <w:widowControl/>
              <w:autoSpaceDE w:val="0"/>
              <w:autoSpaceDN w:val="0"/>
              <w:adjustRightInd/>
              <w:spacing w:line="160" w:lineRule="exact"/>
              <w:rPr>
                <w:rFonts w:ascii="宋体" w:hAnsi="Times New Roman"/>
                <w:kern w:val="0"/>
                <w:szCs w:val="20"/>
              </w:rPr>
            </w:pPr>
            <w:r>
              <w:rPr>
                <w:rFonts w:ascii="宋体" w:hAnsi="Times New Roman" w:hint="eastAsia"/>
                <w:kern w:val="0"/>
                <w:szCs w:val="20"/>
              </w:rPr>
              <w:t>……</w:t>
            </w:r>
          </w:p>
        </w:tc>
      </w:tr>
    </w:tbl>
    <w:p w14:paraId="121983A5" w14:textId="77777777" w:rsidR="00F862B4" w:rsidRDefault="00000000">
      <w:pPr>
        <w:pStyle w:val="affe"/>
        <w:numPr>
          <w:ilvl w:val="2"/>
          <w:numId w:val="0"/>
        </w:numPr>
        <w:spacing w:before="156" w:after="156"/>
      </w:pPr>
      <w:bookmarkStart w:id="65" w:name="_Toc15080"/>
      <w:proofErr w:type="gramStart"/>
      <w:r>
        <w:rPr>
          <w:rFonts w:hint="eastAsia"/>
        </w:rPr>
        <w:lastRenderedPageBreak/>
        <w:t>8.3  风险程度评价</w:t>
      </w:r>
      <w:bookmarkEnd w:id="65"/>
      <w:proofErr w:type="gramEnd"/>
    </w:p>
    <w:p w14:paraId="121983A6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8.3.1  </w:t>
      </w:r>
      <w:r>
        <w:rPr>
          <w:rFonts w:hint="eastAsia"/>
        </w:rPr>
        <w:t>每个危害因素均应进行安全风险评价</w:t>
      </w:r>
      <w:proofErr w:type="gramEnd"/>
      <w:r>
        <w:rPr>
          <w:rFonts w:hint="eastAsia"/>
        </w:rPr>
        <w:t>，通过安全风险评价结果与风险可接受准则比对，确定企业安全风险是否降低到可接受的范围内。</w:t>
      </w:r>
    </w:p>
    <w:p w14:paraId="121983A7" w14:textId="77777777" w:rsidR="00F862B4" w:rsidRDefault="00000000">
      <w:pPr>
        <w:pStyle w:val="afff3"/>
      </w:pPr>
      <w:r>
        <w:rPr>
          <w:rFonts w:hint="eastAsia"/>
        </w:rPr>
        <w:t>原则上，控制风险宜降低到“一般风险”以下。</w:t>
      </w:r>
    </w:p>
    <w:p w14:paraId="121983A8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8.3.2  </w:t>
      </w:r>
      <w:r>
        <w:rPr>
          <w:rFonts w:hint="eastAsia"/>
        </w:rPr>
        <w:t>涂装企业风险程度评价可采用作业条件危险性分析法或风险矩阵法</w:t>
      </w:r>
      <w:proofErr w:type="gramEnd"/>
      <w:r>
        <w:rPr>
          <w:rFonts w:hint="eastAsia"/>
        </w:rPr>
        <w:t>。</w:t>
      </w:r>
    </w:p>
    <w:p w14:paraId="121983A9" w14:textId="77777777" w:rsidR="00F862B4" w:rsidRDefault="00000000">
      <w:pPr>
        <w:pStyle w:val="afffffffff3"/>
        <w:numPr>
          <w:ilvl w:val="3"/>
          <w:numId w:val="0"/>
        </w:numPr>
      </w:pPr>
      <w:proofErr w:type="gramStart"/>
      <w:r>
        <w:rPr>
          <w:rFonts w:ascii="黑体" w:eastAsia="黑体" w:hAnsi="黑体" w:cs="黑体" w:hint="eastAsia"/>
        </w:rPr>
        <w:t xml:space="preserve">8.3.3  </w:t>
      </w:r>
      <w:r>
        <w:rPr>
          <w:rFonts w:hint="eastAsia"/>
        </w:rPr>
        <w:t>如采用定量评价方法对高后果危害因素进行风险程度评价</w:t>
      </w:r>
      <w:proofErr w:type="gramEnd"/>
      <w:r>
        <w:rPr>
          <w:rFonts w:hint="eastAsia"/>
        </w:rPr>
        <w:t>，应进行事故情形设定，并说明理想模型缺陷，以及可能发生的偏差。</w:t>
      </w:r>
    </w:p>
    <w:p w14:paraId="121983AA" w14:textId="77777777" w:rsidR="00F862B4" w:rsidRDefault="00000000">
      <w:pPr>
        <w:pStyle w:val="affd"/>
        <w:spacing w:before="312" w:after="312"/>
      </w:pPr>
      <w:bookmarkStart w:id="66" w:name="_Toc10665"/>
      <w:bookmarkStart w:id="67" w:name="_Toc207880760"/>
      <w:r>
        <w:rPr>
          <w:rFonts w:hint="eastAsia"/>
        </w:rPr>
        <w:t>安全对策措施建议</w:t>
      </w:r>
      <w:bookmarkEnd w:id="66"/>
      <w:bookmarkEnd w:id="67"/>
    </w:p>
    <w:p w14:paraId="121983AB" w14:textId="77777777" w:rsidR="00F862B4" w:rsidRDefault="00000000">
      <w:pPr>
        <w:pStyle w:val="afffffffff0"/>
        <w:widowControl w:val="0"/>
        <w:numPr>
          <w:ilvl w:val="2"/>
          <w:numId w:val="0"/>
        </w:numPr>
      </w:pPr>
      <w:proofErr w:type="gramStart"/>
      <w:r>
        <w:rPr>
          <w:rFonts w:ascii="黑体" w:eastAsia="黑体" w:hint="eastAsia"/>
        </w:rPr>
        <w:t xml:space="preserve">9.1  </w:t>
      </w:r>
      <w:r>
        <w:rPr>
          <w:rFonts w:hint="eastAsia"/>
        </w:rPr>
        <w:t>根据危害因素分析</w:t>
      </w:r>
      <w:proofErr w:type="gramEnd"/>
      <w:r>
        <w:rPr>
          <w:rFonts w:hint="eastAsia"/>
        </w:rPr>
        <w:t>、定性定量评价的结果，提出安全对策措施，内容包括但不限于：</w:t>
      </w:r>
    </w:p>
    <w:p w14:paraId="121983AC" w14:textId="77777777" w:rsidR="00F862B4" w:rsidRDefault="00000000">
      <w:pPr>
        <w:pStyle w:val="af2"/>
        <w:widowControl w:val="0"/>
      </w:pPr>
      <w:r>
        <w:rPr>
          <w:rFonts w:hint="eastAsia"/>
        </w:rPr>
        <w:t>基于现有风险管理，缺失、失效或存在缺陷的安全对策措施的整改建议；</w:t>
      </w:r>
    </w:p>
    <w:p w14:paraId="121983AD" w14:textId="77777777" w:rsidR="00F862B4" w:rsidRDefault="00000000">
      <w:pPr>
        <w:pStyle w:val="af2"/>
        <w:widowControl w:val="0"/>
      </w:pPr>
      <w:r>
        <w:rPr>
          <w:rFonts w:hint="eastAsia"/>
        </w:rPr>
        <w:t>基于保持风险管控措施有效，企业必须保持的安全管理活动，包括但不限于：</w:t>
      </w:r>
    </w:p>
    <w:p w14:paraId="121983AE" w14:textId="77777777" w:rsidR="00F862B4" w:rsidRDefault="00000000" w:rsidP="00A90235">
      <w:pPr>
        <w:pStyle w:val="2"/>
      </w:pPr>
      <w:r>
        <w:rPr>
          <w:rFonts w:hint="eastAsia"/>
        </w:rPr>
        <w:t>基于保持工程技术措施有效性，必须实施的检验、检测、检定、校验，以及维护保养活动；</w:t>
      </w:r>
    </w:p>
    <w:p w14:paraId="121983AF" w14:textId="77777777" w:rsidR="00F862B4" w:rsidRDefault="00000000" w:rsidP="00A90235">
      <w:pPr>
        <w:pStyle w:val="2"/>
      </w:pPr>
      <w:r>
        <w:rPr>
          <w:rFonts w:hint="eastAsia"/>
        </w:rPr>
        <w:t>基于保持人员行为安全措施有效性，必须实施的安全培训、批准和监督活动；</w:t>
      </w:r>
    </w:p>
    <w:p w14:paraId="121983B0" w14:textId="77777777" w:rsidR="00F862B4" w:rsidRDefault="00000000" w:rsidP="00A90235">
      <w:pPr>
        <w:pStyle w:val="2"/>
      </w:pPr>
      <w:r>
        <w:rPr>
          <w:rFonts w:hint="eastAsia"/>
        </w:rPr>
        <w:t>基于保持上述安全措施有效性，必须实施的隐患排查活动；</w:t>
      </w:r>
    </w:p>
    <w:p w14:paraId="121983B1" w14:textId="77777777" w:rsidR="00F862B4" w:rsidRDefault="00000000" w:rsidP="00A90235">
      <w:pPr>
        <w:pStyle w:val="2"/>
      </w:pPr>
      <w:r>
        <w:rPr>
          <w:rFonts w:hint="eastAsia"/>
        </w:rPr>
        <w:t>基于保持应急能力需求，必须实施的应急准备活动；</w:t>
      </w:r>
    </w:p>
    <w:p w14:paraId="121983B2" w14:textId="77777777" w:rsidR="00F862B4" w:rsidRDefault="00000000" w:rsidP="00A90235">
      <w:pPr>
        <w:pStyle w:val="2"/>
      </w:pPr>
      <w:r>
        <w:rPr>
          <w:rFonts w:hint="eastAsia"/>
        </w:rPr>
        <w:t>企业应实施并保持的其他安全管理活动。</w:t>
      </w:r>
    </w:p>
    <w:p w14:paraId="121983B3" w14:textId="77777777" w:rsidR="00F862B4" w:rsidRDefault="00000000">
      <w:pPr>
        <w:pStyle w:val="af2"/>
      </w:pPr>
      <w:r>
        <w:rPr>
          <w:rFonts w:hint="eastAsia"/>
        </w:rPr>
        <w:t>企业安全生产水平提升方案建议，包括但不限于：</w:t>
      </w:r>
    </w:p>
    <w:p w14:paraId="121983B4" w14:textId="52BF3342" w:rsidR="00F862B4" w:rsidRDefault="00000000" w:rsidP="00A90235">
      <w:pPr>
        <w:pStyle w:val="2"/>
      </w:pPr>
      <w:r>
        <w:rPr>
          <w:rFonts w:hint="eastAsia"/>
        </w:rPr>
        <w:t>企业安全管理重要关注点；</w:t>
      </w:r>
    </w:p>
    <w:p w14:paraId="121983B5" w14:textId="3BF7961A" w:rsidR="00F862B4" w:rsidRDefault="00000000" w:rsidP="00A90235">
      <w:pPr>
        <w:pStyle w:val="2"/>
      </w:pPr>
      <w:r>
        <w:rPr>
          <w:rFonts w:hint="eastAsia"/>
        </w:rPr>
        <w:t>企业安全管理体系薄弱环节提升建议；</w:t>
      </w:r>
    </w:p>
    <w:p w14:paraId="121983B6" w14:textId="0E09C621" w:rsidR="00F862B4" w:rsidRDefault="00000000" w:rsidP="00A90235">
      <w:pPr>
        <w:pStyle w:val="2"/>
      </w:pPr>
      <w:r>
        <w:rPr>
          <w:rFonts w:hint="eastAsia"/>
        </w:rPr>
        <w:t>其他关于安全生产的持续改进建议。</w:t>
      </w:r>
    </w:p>
    <w:p w14:paraId="121983B7" w14:textId="77777777" w:rsidR="00F862B4" w:rsidRDefault="00000000">
      <w:pPr>
        <w:pStyle w:val="afffffffff0"/>
        <w:numPr>
          <w:ilvl w:val="2"/>
          <w:numId w:val="0"/>
        </w:numPr>
      </w:pPr>
      <w:proofErr w:type="gramStart"/>
      <w:r>
        <w:rPr>
          <w:rFonts w:ascii="黑体" w:eastAsia="黑体" w:hint="eastAsia"/>
        </w:rPr>
        <w:t xml:space="preserve">9.2  </w:t>
      </w:r>
      <w:r>
        <w:rPr>
          <w:rFonts w:hint="eastAsia"/>
        </w:rPr>
        <w:t>安全对策措施建议应具有针对性</w:t>
      </w:r>
      <w:proofErr w:type="gramEnd"/>
      <w:r>
        <w:rPr>
          <w:rFonts w:hint="eastAsia"/>
        </w:rPr>
        <w:t>、可操作性和经济合理性。</w:t>
      </w:r>
    </w:p>
    <w:p w14:paraId="121983B8" w14:textId="77777777" w:rsidR="00F862B4" w:rsidRDefault="00000000">
      <w:pPr>
        <w:pStyle w:val="affd"/>
        <w:spacing w:before="312" w:after="312"/>
      </w:pPr>
      <w:bookmarkStart w:id="68" w:name="_Toc8762"/>
      <w:bookmarkStart w:id="69" w:name="_Toc207880761"/>
      <w:r>
        <w:rPr>
          <w:rFonts w:hint="eastAsia"/>
        </w:rPr>
        <w:t>现场复核</w:t>
      </w:r>
      <w:bookmarkEnd w:id="68"/>
      <w:bookmarkEnd w:id="69"/>
    </w:p>
    <w:p w14:paraId="121983B9" w14:textId="77777777" w:rsidR="00F862B4" w:rsidRDefault="00000000">
      <w:pPr>
        <w:pStyle w:val="afffffffff0"/>
        <w:numPr>
          <w:ilvl w:val="2"/>
          <w:numId w:val="0"/>
        </w:numPr>
      </w:pPr>
      <w:proofErr w:type="gramStart"/>
      <w:r>
        <w:rPr>
          <w:rFonts w:ascii="黑体" w:eastAsia="黑体" w:hint="eastAsia"/>
        </w:rPr>
        <w:t xml:space="preserve">10.1  </w:t>
      </w:r>
      <w:r>
        <w:rPr>
          <w:rFonts w:hint="eastAsia"/>
        </w:rPr>
        <w:t>现场复核主要目内容包括但不限于</w:t>
      </w:r>
      <w:proofErr w:type="gramEnd"/>
      <w:r>
        <w:rPr>
          <w:rFonts w:hint="eastAsia"/>
        </w:rPr>
        <w:t>：</w:t>
      </w:r>
    </w:p>
    <w:p w14:paraId="121983BA" w14:textId="77777777" w:rsidR="00F862B4" w:rsidRDefault="00000000">
      <w:pPr>
        <w:pStyle w:val="af2"/>
      </w:pPr>
      <w:r>
        <w:rPr>
          <w:rFonts w:hint="eastAsia"/>
        </w:rPr>
        <w:t>确认危害因素分析和定性定量评价的充分性、有效性，包括但不限于：</w:t>
      </w:r>
    </w:p>
    <w:p w14:paraId="121983BB" w14:textId="3DDFE0EA" w:rsidR="00F862B4" w:rsidRDefault="00000000" w:rsidP="00A90235">
      <w:pPr>
        <w:pStyle w:val="2"/>
      </w:pPr>
      <w:r>
        <w:rPr>
          <w:rFonts w:hint="eastAsia"/>
        </w:rPr>
        <w:t>复核是否有风险点遗漏；</w:t>
      </w:r>
    </w:p>
    <w:p w14:paraId="121983BC" w14:textId="46152A37" w:rsidR="00F862B4" w:rsidRDefault="00000000" w:rsidP="00A90235">
      <w:pPr>
        <w:pStyle w:val="2"/>
      </w:pPr>
      <w:r>
        <w:rPr>
          <w:rFonts w:hint="eastAsia"/>
        </w:rPr>
        <w:t>复核是否危害因素未被识别；</w:t>
      </w:r>
    </w:p>
    <w:p w14:paraId="121983BD" w14:textId="626E69F4" w:rsidR="00F862B4" w:rsidRDefault="00000000" w:rsidP="00A90235">
      <w:pPr>
        <w:pStyle w:val="2"/>
      </w:pPr>
      <w:r>
        <w:rPr>
          <w:rFonts w:hint="eastAsia"/>
        </w:rPr>
        <w:t>复核安全评价报告描述的风险管控措施与实际情况一致性；</w:t>
      </w:r>
    </w:p>
    <w:p w14:paraId="121983BE" w14:textId="0B7534A5" w:rsidR="00F862B4" w:rsidRDefault="00000000" w:rsidP="00A90235">
      <w:pPr>
        <w:pStyle w:val="2"/>
      </w:pPr>
      <w:r>
        <w:rPr>
          <w:rFonts w:hint="eastAsia"/>
        </w:rPr>
        <w:t>复核安全风险评估结果是否准确。</w:t>
      </w:r>
    </w:p>
    <w:p w14:paraId="121983BF" w14:textId="77777777" w:rsidR="00F862B4" w:rsidRDefault="00000000">
      <w:pPr>
        <w:pStyle w:val="af2"/>
      </w:pPr>
      <w:r>
        <w:rPr>
          <w:rFonts w:hint="eastAsia"/>
        </w:rPr>
        <w:t>复查和确认被评企业安全隐患整改情况。</w:t>
      </w:r>
    </w:p>
    <w:p w14:paraId="121983C0" w14:textId="77777777" w:rsidR="00F862B4" w:rsidRDefault="00000000">
      <w:pPr>
        <w:pStyle w:val="afffffffff0"/>
        <w:numPr>
          <w:ilvl w:val="2"/>
          <w:numId w:val="0"/>
        </w:numPr>
      </w:pPr>
      <w:proofErr w:type="gramStart"/>
      <w:r>
        <w:rPr>
          <w:rFonts w:ascii="黑体" w:eastAsia="黑体" w:hint="eastAsia"/>
        </w:rPr>
        <w:t xml:space="preserve">10.2  </w:t>
      </w:r>
      <w:r>
        <w:rPr>
          <w:rFonts w:hint="eastAsia"/>
        </w:rPr>
        <w:t>现场复核时</w:t>
      </w:r>
      <w:proofErr w:type="gramEnd"/>
      <w:r>
        <w:rPr>
          <w:rFonts w:hint="eastAsia"/>
        </w:rPr>
        <w:t>，应采集企业整改后的影像资料。</w:t>
      </w:r>
    </w:p>
    <w:p w14:paraId="121983C1" w14:textId="77777777" w:rsidR="00F862B4" w:rsidRDefault="00000000">
      <w:pPr>
        <w:pStyle w:val="affd"/>
        <w:spacing w:before="312" w:after="312"/>
      </w:pPr>
      <w:bookmarkStart w:id="70" w:name="_Toc22261"/>
      <w:bookmarkStart w:id="71" w:name="_Toc207880762"/>
      <w:r>
        <w:rPr>
          <w:rFonts w:hint="eastAsia"/>
        </w:rPr>
        <w:t>评价结果综述</w:t>
      </w:r>
      <w:bookmarkEnd w:id="70"/>
      <w:bookmarkEnd w:id="71"/>
    </w:p>
    <w:p w14:paraId="121983C2" w14:textId="77777777" w:rsidR="00F862B4" w:rsidRDefault="00000000">
      <w:pPr>
        <w:pStyle w:val="afffff7"/>
        <w:ind w:firstLine="420"/>
      </w:pPr>
      <w:r>
        <w:rPr>
          <w:rFonts w:hint="eastAsia"/>
        </w:rPr>
        <w:t>评价结果综述内容包括但不限于：</w:t>
      </w:r>
    </w:p>
    <w:p w14:paraId="121983C3" w14:textId="77777777" w:rsidR="00F862B4" w:rsidRDefault="00000000">
      <w:pPr>
        <w:pStyle w:val="af2"/>
      </w:pPr>
      <w:r>
        <w:rPr>
          <w:rFonts w:hint="eastAsia"/>
        </w:rPr>
        <w:lastRenderedPageBreak/>
        <w:t>企业安全隐患整改落实情况的复查结果；</w:t>
      </w:r>
    </w:p>
    <w:p w14:paraId="121983C4" w14:textId="77777777" w:rsidR="00F862B4" w:rsidRDefault="00000000">
      <w:pPr>
        <w:pStyle w:val="af2"/>
      </w:pPr>
      <w:r>
        <w:rPr>
          <w:rFonts w:hint="eastAsia"/>
        </w:rPr>
        <w:t>危害因素分析结果，以及企业需重点管控的危害因素；</w:t>
      </w:r>
    </w:p>
    <w:p w14:paraId="121983C5" w14:textId="77777777" w:rsidR="00F862B4" w:rsidRDefault="00000000">
      <w:pPr>
        <w:pStyle w:val="af2"/>
      </w:pPr>
      <w:r>
        <w:rPr>
          <w:rFonts w:hint="eastAsia"/>
        </w:rPr>
        <w:t>定性定量评价结果汇总；</w:t>
      </w:r>
    </w:p>
    <w:p w14:paraId="121983C7" w14:textId="65A72FFB" w:rsidR="00F862B4" w:rsidRDefault="00000000" w:rsidP="00A90235">
      <w:pPr>
        <w:pStyle w:val="af2"/>
        <w:rPr>
          <w:rFonts w:hint="eastAsia"/>
        </w:rPr>
      </w:pPr>
      <w:r>
        <w:rPr>
          <w:rFonts w:hint="eastAsia"/>
        </w:rPr>
        <w:t>综合评价结论，包括：企业安全风险程度是否控制在可接受的范围内，以及企业现有状态是否符合</w:t>
      </w:r>
      <w:r>
        <w:rPr>
          <w:rFonts w:hAnsi="宋体" w:cs="宋体" w:hint="eastAsia"/>
          <w:szCs w:val="21"/>
        </w:rPr>
        <w:t>法律法规和技术标准规范规定的安全生产条件的结论</w:t>
      </w:r>
      <w:r>
        <w:rPr>
          <w:rFonts w:hint="eastAsia"/>
        </w:rPr>
        <w:t>。</w:t>
      </w:r>
    </w:p>
    <w:p w14:paraId="121983C8" w14:textId="77777777" w:rsidR="00F862B4" w:rsidRDefault="00000000">
      <w:pPr>
        <w:pStyle w:val="affd"/>
        <w:spacing w:before="312" w:after="312"/>
      </w:pPr>
      <w:bookmarkStart w:id="72" w:name="_Toc22192"/>
      <w:bookmarkStart w:id="73" w:name="_Toc207880763"/>
      <w:r>
        <w:rPr>
          <w:rFonts w:hint="eastAsia"/>
        </w:rPr>
        <w:t>报告编制</w:t>
      </w:r>
      <w:bookmarkEnd w:id="72"/>
      <w:bookmarkEnd w:id="73"/>
    </w:p>
    <w:p w14:paraId="121983C9" w14:textId="77777777" w:rsidR="00F862B4" w:rsidRDefault="00000000">
      <w:pPr>
        <w:pStyle w:val="afffffffff0"/>
        <w:numPr>
          <w:ilvl w:val="2"/>
          <w:numId w:val="0"/>
        </w:numPr>
      </w:pPr>
      <w:proofErr w:type="gramStart"/>
      <w:r>
        <w:rPr>
          <w:rFonts w:ascii="黑体" w:eastAsia="黑体" w:hint="eastAsia"/>
        </w:rPr>
        <w:t xml:space="preserve">12.1  </w:t>
      </w:r>
      <w:r>
        <w:rPr>
          <w:rFonts w:hint="eastAsia"/>
        </w:rPr>
        <w:t>安全评价报告的文字应简洁</w:t>
      </w:r>
      <w:proofErr w:type="gramEnd"/>
      <w:r>
        <w:rPr>
          <w:rFonts w:hint="eastAsia"/>
        </w:rPr>
        <w:t>、准确，可采用图表和照片；安全评价过程应逻辑清晰，安全评价结论应明确。</w:t>
      </w:r>
    </w:p>
    <w:p w14:paraId="121983CA" w14:textId="77777777" w:rsidR="00F862B4" w:rsidRDefault="00000000">
      <w:pPr>
        <w:pStyle w:val="afffffffff0"/>
        <w:numPr>
          <w:ilvl w:val="2"/>
          <w:numId w:val="0"/>
        </w:numPr>
      </w:pPr>
      <w:proofErr w:type="gramStart"/>
      <w:r>
        <w:rPr>
          <w:rFonts w:ascii="黑体" w:eastAsia="黑体" w:hint="eastAsia"/>
        </w:rPr>
        <w:t xml:space="preserve">12.2  </w:t>
      </w:r>
      <w:r>
        <w:rPr>
          <w:rFonts w:hint="eastAsia"/>
        </w:rPr>
        <w:t>安全评价报告内容应包括但不限于</w:t>
      </w:r>
      <w:proofErr w:type="gramEnd"/>
      <w:r>
        <w:rPr>
          <w:rFonts w:hint="eastAsia"/>
        </w:rPr>
        <w:t>：</w:t>
      </w:r>
    </w:p>
    <w:p w14:paraId="121983CB" w14:textId="77777777" w:rsidR="00F862B4" w:rsidRDefault="00000000">
      <w:pPr>
        <w:pStyle w:val="af6"/>
        <w:numPr>
          <w:ilvl w:val="0"/>
          <w:numId w:val="34"/>
        </w:numPr>
      </w:pPr>
      <w:r>
        <w:rPr>
          <w:rFonts w:hint="eastAsia"/>
        </w:rPr>
        <w:t>为满足危害因素分析和定性定量评价需要，需对被评价对象进行介绍，主要包括：</w:t>
      </w:r>
    </w:p>
    <w:p w14:paraId="121983CC" w14:textId="77777777" w:rsidR="00F862B4" w:rsidRDefault="00000000">
      <w:pPr>
        <w:pStyle w:val="af7"/>
      </w:pPr>
      <w:r>
        <w:rPr>
          <w:rFonts w:hint="eastAsia"/>
        </w:rPr>
        <w:t>企业基本情况；</w:t>
      </w:r>
    </w:p>
    <w:p w14:paraId="121983CD" w14:textId="77777777" w:rsidR="00F862B4" w:rsidRDefault="00000000">
      <w:pPr>
        <w:pStyle w:val="af7"/>
      </w:pPr>
      <w:r>
        <w:rPr>
          <w:rFonts w:hint="eastAsia"/>
        </w:rPr>
        <w:t>企业选址和周边环境介绍；</w:t>
      </w:r>
    </w:p>
    <w:p w14:paraId="121983CE" w14:textId="77777777" w:rsidR="00F862B4" w:rsidRDefault="00000000">
      <w:pPr>
        <w:pStyle w:val="af7"/>
      </w:pPr>
      <w:r>
        <w:rPr>
          <w:rFonts w:hint="eastAsia"/>
        </w:rPr>
        <w:t>企业总图布置和建构筑物情况；</w:t>
      </w:r>
    </w:p>
    <w:p w14:paraId="121983CF" w14:textId="77777777" w:rsidR="00F862B4" w:rsidRDefault="00000000">
      <w:pPr>
        <w:pStyle w:val="af7"/>
      </w:pPr>
      <w:r>
        <w:rPr>
          <w:rFonts w:hint="eastAsia"/>
        </w:rPr>
        <w:t>企业产品及生产规模；</w:t>
      </w:r>
    </w:p>
    <w:p w14:paraId="121983D0" w14:textId="77777777" w:rsidR="00F862B4" w:rsidRDefault="00000000">
      <w:pPr>
        <w:pStyle w:val="af7"/>
      </w:pPr>
      <w:r>
        <w:rPr>
          <w:rFonts w:hint="eastAsia"/>
        </w:rPr>
        <w:t>产品生产工艺流程、主要生产设备设施和主要原辅材料；</w:t>
      </w:r>
    </w:p>
    <w:p w14:paraId="121983D1" w14:textId="77777777" w:rsidR="00F862B4" w:rsidRDefault="00000000">
      <w:pPr>
        <w:pStyle w:val="af7"/>
      </w:pPr>
      <w:r>
        <w:rPr>
          <w:rFonts w:hint="eastAsia"/>
        </w:rPr>
        <w:t>企业公用工程及辅助设施，包括仓储设施；</w:t>
      </w:r>
    </w:p>
    <w:p w14:paraId="121983D2" w14:textId="77777777" w:rsidR="00F862B4" w:rsidRDefault="00000000">
      <w:pPr>
        <w:pStyle w:val="af7"/>
      </w:pPr>
      <w:r>
        <w:rPr>
          <w:rFonts w:hint="eastAsia"/>
        </w:rPr>
        <w:t>企业内部运输方式；</w:t>
      </w:r>
    </w:p>
    <w:p w14:paraId="121983D3" w14:textId="77777777" w:rsidR="00F862B4" w:rsidRDefault="00000000">
      <w:pPr>
        <w:pStyle w:val="af7"/>
      </w:pPr>
      <w:r>
        <w:rPr>
          <w:rFonts w:hint="eastAsia"/>
        </w:rPr>
        <w:t>企业安全管理组织及安全管理状况等。</w:t>
      </w:r>
    </w:p>
    <w:p w14:paraId="121983D4" w14:textId="77777777" w:rsidR="00F862B4" w:rsidRDefault="00000000">
      <w:pPr>
        <w:pStyle w:val="af6"/>
      </w:pPr>
      <w:r>
        <w:rPr>
          <w:rFonts w:hint="eastAsia"/>
        </w:rPr>
        <w:t>安全评价目的、范围、依据和程序，以及评价单元和风险点划分结果；</w:t>
      </w:r>
    </w:p>
    <w:p w14:paraId="121983D5" w14:textId="77777777" w:rsidR="00F862B4" w:rsidRDefault="00000000">
      <w:pPr>
        <w:pStyle w:val="af6"/>
      </w:pPr>
      <w:r>
        <w:rPr>
          <w:rFonts w:hint="eastAsia"/>
        </w:rPr>
        <w:t>危害因素分析；</w:t>
      </w:r>
    </w:p>
    <w:p w14:paraId="121983D6" w14:textId="77777777" w:rsidR="00F862B4" w:rsidRDefault="00000000">
      <w:pPr>
        <w:pStyle w:val="af6"/>
      </w:pPr>
      <w:r>
        <w:rPr>
          <w:rFonts w:hint="eastAsia"/>
        </w:rPr>
        <w:t>定性定量评价，主要包括：</w:t>
      </w:r>
    </w:p>
    <w:p w14:paraId="121983D7" w14:textId="77777777" w:rsidR="00F862B4" w:rsidRDefault="00000000">
      <w:pPr>
        <w:pStyle w:val="af7"/>
      </w:pPr>
      <w:r>
        <w:rPr>
          <w:rFonts w:hint="eastAsia"/>
        </w:rPr>
        <w:t>各评价单元的评价方法和评价准则选择，以及选用理由，并对评价方法的局限性和可能出现的偏差进行说明；</w:t>
      </w:r>
    </w:p>
    <w:p w14:paraId="121983D8" w14:textId="77777777" w:rsidR="00F862B4" w:rsidRDefault="00000000">
      <w:pPr>
        <w:pStyle w:val="af7"/>
      </w:pPr>
      <w:r>
        <w:rPr>
          <w:rFonts w:hint="eastAsia"/>
        </w:rPr>
        <w:t>符合性评价过程及结果；</w:t>
      </w:r>
    </w:p>
    <w:p w14:paraId="121983D9" w14:textId="77777777" w:rsidR="00F862B4" w:rsidRDefault="00000000">
      <w:pPr>
        <w:pStyle w:val="af7"/>
      </w:pPr>
      <w:r>
        <w:rPr>
          <w:rFonts w:hint="eastAsia"/>
        </w:rPr>
        <w:t>安全风险程度评价过程及结果；</w:t>
      </w:r>
    </w:p>
    <w:p w14:paraId="121983DA" w14:textId="77777777" w:rsidR="00F862B4" w:rsidRDefault="00000000">
      <w:pPr>
        <w:pStyle w:val="af7"/>
      </w:pPr>
      <w:r>
        <w:rPr>
          <w:rFonts w:hint="eastAsia"/>
        </w:rPr>
        <w:t>安全隐患清单。</w:t>
      </w:r>
    </w:p>
    <w:p w14:paraId="121983DB" w14:textId="77777777" w:rsidR="00F862B4" w:rsidRDefault="00000000">
      <w:pPr>
        <w:pStyle w:val="af6"/>
      </w:pPr>
      <w:r>
        <w:rPr>
          <w:rFonts w:hint="eastAsia"/>
        </w:rPr>
        <w:t>安全对策措施建议；</w:t>
      </w:r>
    </w:p>
    <w:p w14:paraId="121983DC" w14:textId="77777777" w:rsidR="00F862B4" w:rsidRDefault="00000000">
      <w:pPr>
        <w:pStyle w:val="af6"/>
      </w:pPr>
      <w:r>
        <w:rPr>
          <w:rFonts w:hint="eastAsia"/>
        </w:rPr>
        <w:t>安全评价结果综述；</w:t>
      </w:r>
    </w:p>
    <w:p w14:paraId="121983DD" w14:textId="77777777" w:rsidR="00F862B4" w:rsidRDefault="00000000">
      <w:pPr>
        <w:pStyle w:val="af6"/>
      </w:pPr>
      <w:r>
        <w:rPr>
          <w:rFonts w:hint="eastAsia"/>
        </w:rPr>
        <w:t>安全评价报告附件，对安全评价过程进行补充和佐证，主要包括：</w:t>
      </w:r>
    </w:p>
    <w:p w14:paraId="121983DE" w14:textId="77777777" w:rsidR="00F862B4" w:rsidRDefault="00000000">
      <w:pPr>
        <w:pStyle w:val="af7"/>
      </w:pPr>
      <w:r>
        <w:rPr>
          <w:rFonts w:hint="eastAsia"/>
        </w:rPr>
        <w:t>企业合规运营证明性材料；</w:t>
      </w:r>
    </w:p>
    <w:p w14:paraId="121983DF" w14:textId="77777777" w:rsidR="00F862B4" w:rsidRDefault="00000000">
      <w:pPr>
        <w:pStyle w:val="af7"/>
      </w:pPr>
      <w:r>
        <w:rPr>
          <w:rFonts w:hint="eastAsia"/>
        </w:rPr>
        <w:t>企业运营过程涉及的检验、检测、检定和校验合格证明材料；</w:t>
      </w:r>
    </w:p>
    <w:p w14:paraId="121983E0" w14:textId="77777777" w:rsidR="00F862B4" w:rsidRDefault="00000000">
      <w:pPr>
        <w:pStyle w:val="af7"/>
      </w:pPr>
      <w:r>
        <w:rPr>
          <w:rFonts w:hint="eastAsia"/>
        </w:rPr>
        <w:t>企业安全管理相关记录资料；</w:t>
      </w:r>
    </w:p>
    <w:p w14:paraId="121983E1" w14:textId="77777777" w:rsidR="00F862B4" w:rsidRDefault="00000000">
      <w:pPr>
        <w:pStyle w:val="af7"/>
      </w:pPr>
      <w:r>
        <w:rPr>
          <w:rFonts w:hint="eastAsia"/>
        </w:rPr>
        <w:t>企业提供的技术性资料；</w:t>
      </w:r>
    </w:p>
    <w:p w14:paraId="121983E2" w14:textId="77777777" w:rsidR="00F862B4" w:rsidRDefault="00000000">
      <w:pPr>
        <w:pStyle w:val="af7"/>
      </w:pPr>
      <w:r>
        <w:rPr>
          <w:rFonts w:hint="eastAsia"/>
        </w:rPr>
        <w:t>危害因素与风险控制措施关系表。</w:t>
      </w:r>
    </w:p>
    <w:p w14:paraId="121983E3" w14:textId="77777777" w:rsidR="00F862B4" w:rsidRDefault="00000000">
      <w:pPr>
        <w:pStyle w:val="afffffffff0"/>
        <w:numPr>
          <w:ilvl w:val="2"/>
          <w:numId w:val="0"/>
        </w:numPr>
      </w:pPr>
      <w:proofErr w:type="gramStart"/>
      <w:r>
        <w:rPr>
          <w:rFonts w:ascii="黑体" w:eastAsia="黑体" w:hint="eastAsia"/>
        </w:rPr>
        <w:t xml:space="preserve">12.3  </w:t>
      </w:r>
      <w:r>
        <w:rPr>
          <w:rFonts w:hAnsi="宋体" w:cs="宋体" w:hint="eastAsia"/>
        </w:rPr>
        <w:t>安</w:t>
      </w:r>
      <w:r>
        <w:rPr>
          <w:rFonts w:hint="eastAsia"/>
        </w:rPr>
        <w:t>全评价报告的格式应符合</w:t>
      </w:r>
      <w:proofErr w:type="gramEnd"/>
      <w:r>
        <w:rPr>
          <w:rFonts w:hint="eastAsia"/>
        </w:rPr>
        <w:t>AQ 8001的规定。</w:t>
      </w:r>
    </w:p>
    <w:p w14:paraId="121983E4" w14:textId="77777777" w:rsidR="00F862B4" w:rsidRDefault="00F862B4">
      <w:pPr>
        <w:pStyle w:val="afffff7"/>
        <w:ind w:firstLine="420"/>
      </w:pPr>
    </w:p>
    <w:p w14:paraId="121983E5" w14:textId="77777777" w:rsidR="00F862B4" w:rsidRDefault="00F862B4">
      <w:pPr>
        <w:pStyle w:val="afffff7"/>
        <w:ind w:firstLine="420"/>
      </w:pPr>
    </w:p>
    <w:p w14:paraId="46185E8D" w14:textId="77777777" w:rsidR="00A90235" w:rsidRDefault="00A90235">
      <w:pPr>
        <w:pStyle w:val="afffff7"/>
        <w:ind w:firstLine="420"/>
        <w:sectPr w:rsidR="00A90235" w:rsidSect="00D00406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1928" w:right="1134" w:bottom="1134" w:left="1134" w:header="1418" w:footer="1134" w:gutter="284"/>
          <w:pgNumType w:start="1"/>
          <w:cols w:space="425"/>
          <w:formProt w:val="0"/>
          <w:docGrid w:type="lines" w:linePitch="312"/>
        </w:sectPr>
      </w:pPr>
    </w:p>
    <w:p w14:paraId="139CE228" w14:textId="77777777" w:rsidR="00A90235" w:rsidRDefault="00A90235" w:rsidP="00A90235">
      <w:pPr>
        <w:pStyle w:val="af9"/>
        <w:rPr>
          <w:vanish w:val="0"/>
        </w:rPr>
      </w:pPr>
      <w:bookmarkStart w:id="74" w:name="BookMark5"/>
      <w:bookmarkEnd w:id="11"/>
    </w:p>
    <w:p w14:paraId="6612E452" w14:textId="77777777" w:rsidR="00A90235" w:rsidRDefault="00A90235" w:rsidP="00A90235">
      <w:pPr>
        <w:pStyle w:val="aff"/>
        <w:rPr>
          <w:vanish w:val="0"/>
        </w:rPr>
      </w:pPr>
    </w:p>
    <w:p w14:paraId="4D621CB6" w14:textId="71A0F041" w:rsidR="00F266AE" w:rsidRDefault="00A90235" w:rsidP="00F266AE">
      <w:pPr>
        <w:pStyle w:val="aff4"/>
        <w:spacing w:after="156"/>
        <w:rPr>
          <w:rFonts w:hint="eastAsia"/>
        </w:rPr>
      </w:pPr>
      <w:r>
        <w:br/>
      </w:r>
      <w:bookmarkStart w:id="75" w:name="_Toc207880764"/>
      <w:r>
        <w:rPr>
          <w:rFonts w:hint="eastAsia"/>
        </w:rPr>
        <w:t>（资料性）</w:t>
      </w:r>
      <w:r>
        <w:br/>
      </w:r>
      <w:r>
        <w:rPr>
          <w:rFonts w:hint="eastAsia"/>
        </w:rPr>
        <w:t>风险点划分原则</w:t>
      </w:r>
      <w:bookmarkEnd w:id="75"/>
    </w:p>
    <w:p w14:paraId="732CB535" w14:textId="77777777" w:rsidR="00F266AE" w:rsidRDefault="00F266AE" w:rsidP="00F266AE">
      <w:pPr>
        <w:pStyle w:val="affffffffffa"/>
        <w:rPr>
          <w:rFonts w:hint="eastAsia"/>
        </w:rPr>
      </w:pPr>
      <w:r>
        <w:rPr>
          <w:rFonts w:hint="eastAsia"/>
        </w:rPr>
        <w:t>风险点是在安全评价单元划分基础上的再细分，以避免危害因素辨识和定性定量评价疏漏。风险点可分为设备设施、场所和作业活动等三类，其划分原则如下：</w:t>
      </w:r>
    </w:p>
    <w:p w14:paraId="15309982" w14:textId="77777777" w:rsidR="00F266AE" w:rsidRDefault="00F266AE" w:rsidP="00F266AE">
      <w:pPr>
        <w:pStyle w:val="af6"/>
        <w:numPr>
          <w:ilvl w:val="0"/>
          <w:numId w:val="36"/>
        </w:numPr>
        <w:rPr>
          <w:rFonts w:hint="eastAsia"/>
        </w:rPr>
      </w:pPr>
      <w:r>
        <w:rPr>
          <w:rFonts w:hint="eastAsia"/>
        </w:rPr>
        <w:t>启动后独立运行，且有风险伴随的设备，应划分为“设备设施”类风险点，如自动喷漆线、烘箱、配电箱等；</w:t>
      </w:r>
    </w:p>
    <w:p w14:paraId="047DCF65" w14:textId="77777777" w:rsidR="00F266AE" w:rsidRDefault="00F266AE" w:rsidP="00F266AE">
      <w:pPr>
        <w:pStyle w:val="afff3"/>
        <w:rPr>
          <w:rFonts w:hint="eastAsia"/>
        </w:rPr>
      </w:pPr>
      <w:r>
        <w:rPr>
          <w:rFonts w:hint="eastAsia"/>
        </w:rPr>
        <w:t>设备设施应为有安全风险伴随的独立功能单元，而非设备配件或安全设施。</w:t>
      </w:r>
    </w:p>
    <w:p w14:paraId="698A0DE3" w14:textId="77777777" w:rsidR="00F266AE" w:rsidRDefault="00F266AE" w:rsidP="00F266AE">
      <w:pPr>
        <w:pStyle w:val="af6"/>
        <w:rPr>
          <w:rFonts w:hint="eastAsia"/>
        </w:rPr>
      </w:pPr>
      <w:r>
        <w:rPr>
          <w:rFonts w:hint="eastAsia"/>
        </w:rPr>
        <w:t>生产过程中有风险伴随的操作，或只在操作过程才有风险伴随的设备，应划分并描述为“作业活动”类风险点，如调漆作业、工件上线、人工喷漆作业、工件下线、叉车操作等；</w:t>
      </w:r>
    </w:p>
    <w:p w14:paraId="7043A025" w14:textId="77777777" w:rsidR="00F266AE" w:rsidRDefault="00F266AE" w:rsidP="00F266AE">
      <w:pPr>
        <w:pStyle w:val="af6"/>
        <w:rPr>
          <w:rFonts w:hint="eastAsia"/>
        </w:rPr>
      </w:pPr>
      <w:r>
        <w:rPr>
          <w:rFonts w:hint="eastAsia"/>
        </w:rPr>
        <w:t>相对独立且危害因素相对单一的区域，可划分为“场所”类风险点，如油漆仓库、危险废物仓库等；</w:t>
      </w:r>
    </w:p>
    <w:p w14:paraId="6D638DBF" w14:textId="77777777" w:rsidR="00F266AE" w:rsidRDefault="00F266AE" w:rsidP="00F266AE">
      <w:pPr>
        <w:pStyle w:val="af6"/>
        <w:rPr>
          <w:rFonts w:hint="eastAsia"/>
        </w:rPr>
      </w:pPr>
      <w:r>
        <w:rPr>
          <w:rFonts w:hint="eastAsia"/>
          <w:bCs/>
        </w:rPr>
        <w:t>可以在风险点下，</w:t>
      </w:r>
      <w:r>
        <w:rPr>
          <w:rFonts w:hint="eastAsia"/>
        </w:rPr>
        <w:t>根据评价需要，划分作业步骤；作业步骤应为与工作目的直接相关，且有安全风险伴随的活动，而非安全措施，以“动词+名词”方式描述；为保证目的清晰，描述作业步骤时，只描述“做什么”，不描述“怎么做”。</w:t>
      </w:r>
    </w:p>
    <w:p w14:paraId="1F41BE37" w14:textId="77777777" w:rsidR="00F266AE" w:rsidRDefault="00F266AE" w:rsidP="00F266AE">
      <w:pPr>
        <w:pStyle w:val="afff3"/>
      </w:pPr>
      <w:r>
        <w:rPr>
          <w:rFonts w:hint="eastAsia"/>
        </w:rPr>
        <w:t>例如，涂装作业人员穿戴劳动保护用品，是动作，但动作本身不是涂装作业必须步骤，且无风险伴随，故不划分为作业步骤。</w:t>
      </w:r>
    </w:p>
    <w:p w14:paraId="3A01B24A" w14:textId="77777777" w:rsidR="00F266AE" w:rsidRPr="00F266AE" w:rsidRDefault="00F266AE" w:rsidP="00F266AE">
      <w:pPr>
        <w:pStyle w:val="afffff7"/>
        <w:ind w:firstLine="420"/>
        <w:rPr>
          <w:rFonts w:hint="eastAsia"/>
        </w:rPr>
        <w:sectPr w:rsidR="00F266AE" w:rsidRPr="00F266AE" w:rsidSect="00D00406">
          <w:headerReference w:type="even" r:id="rId30"/>
          <w:headerReference w:type="default" r:id="rId31"/>
          <w:footerReference w:type="even" r:id="rId32"/>
          <w:footerReference w:type="default" r:id="rId33"/>
          <w:pgSz w:w="11906" w:h="16838"/>
          <w:pgMar w:top="1928" w:right="1134" w:bottom="1134" w:left="1134" w:header="1418" w:footer="1134" w:gutter="284"/>
          <w:cols w:space="425"/>
          <w:formProt w:val="0"/>
          <w:docGrid w:type="lines" w:linePitch="312"/>
        </w:sectPr>
      </w:pPr>
    </w:p>
    <w:p w14:paraId="56BB1529" w14:textId="28468E8E" w:rsidR="00A90235" w:rsidRDefault="00A90235" w:rsidP="00F266AE">
      <w:pPr>
        <w:pStyle w:val="af9"/>
        <w:rPr>
          <w:rFonts w:hint="eastAsia"/>
          <w:vanish w:val="0"/>
        </w:rPr>
      </w:pPr>
    </w:p>
    <w:p w14:paraId="57DC74CA" w14:textId="77777777" w:rsidR="00F266AE" w:rsidRDefault="00F266AE" w:rsidP="00F266AE">
      <w:pPr>
        <w:pStyle w:val="aff"/>
        <w:rPr>
          <w:rFonts w:hint="eastAsia"/>
          <w:vanish w:val="0"/>
        </w:rPr>
      </w:pPr>
    </w:p>
    <w:p w14:paraId="22B28CBF" w14:textId="7AD46BBA" w:rsidR="00F266AE" w:rsidRDefault="00F266AE" w:rsidP="00F266AE">
      <w:pPr>
        <w:pStyle w:val="aff4"/>
        <w:spacing w:after="156"/>
        <w:rPr>
          <w:rFonts w:hint="eastAsia"/>
        </w:rPr>
      </w:pPr>
      <w:r>
        <w:br/>
      </w:r>
      <w:bookmarkStart w:id="76" w:name="_Toc207880765"/>
      <w:r>
        <w:rPr>
          <w:rFonts w:hint="eastAsia"/>
        </w:rPr>
        <w:t>（资料性）</w:t>
      </w:r>
      <w:r>
        <w:br/>
      </w:r>
      <w:r>
        <w:rPr>
          <w:rFonts w:hint="eastAsia"/>
        </w:rPr>
        <w:t>作业条件危险性分析法评价准则</w:t>
      </w:r>
      <w:bookmarkEnd w:id="76"/>
    </w:p>
    <w:p w14:paraId="767132FB" w14:textId="16E004F2" w:rsidR="00F266AE" w:rsidRPr="00F266AE" w:rsidRDefault="00F266AE" w:rsidP="009A78D7">
      <w:pPr>
        <w:pStyle w:val="aff5"/>
        <w:spacing w:before="156" w:after="156"/>
      </w:pPr>
      <w:r>
        <w:rPr>
          <w:rFonts w:hint="eastAsia"/>
        </w:rPr>
        <w:t>事故发生的可能</w:t>
      </w:r>
      <w:r w:rsidRPr="00F266AE">
        <w:t>性（L）取值准则</w:t>
      </w:r>
    </w:p>
    <w:p w14:paraId="6FBDBE9E" w14:textId="77777777" w:rsidR="00F266AE" w:rsidRPr="00F266AE" w:rsidRDefault="00F266AE" w:rsidP="00F266AE">
      <w:pPr>
        <w:widowControl/>
        <w:adjustRightInd/>
        <w:spacing w:line="360" w:lineRule="auto"/>
        <w:ind w:firstLineChars="200" w:firstLine="420"/>
        <w:rPr>
          <w:rFonts w:ascii="Times New Roman" w:hAnsi="Times New Roman"/>
        </w:rPr>
      </w:pPr>
      <w:r w:rsidRPr="00F266AE">
        <w:rPr>
          <w:rFonts w:ascii="Times New Roman" w:hAnsi="Times New Roman"/>
        </w:rPr>
        <w:t>事故发生的可能性（</w:t>
      </w:r>
      <w:r w:rsidRPr="00F266AE">
        <w:rPr>
          <w:rFonts w:ascii="Times New Roman" w:hAnsi="Times New Roman"/>
        </w:rPr>
        <w:t>L</w:t>
      </w:r>
      <w:r w:rsidRPr="00F266AE">
        <w:rPr>
          <w:rFonts w:ascii="Times New Roman" w:hAnsi="Times New Roman"/>
        </w:rPr>
        <w:t>）的取值准则具体见表</w:t>
      </w:r>
      <w:r w:rsidRPr="00F266AE">
        <w:rPr>
          <w:rFonts w:ascii="Times New Roman" w:hAnsi="Times New Roman"/>
        </w:rPr>
        <w:t>B.1</w:t>
      </w:r>
      <w:r w:rsidRPr="00F266AE">
        <w:rPr>
          <w:rFonts w:ascii="Times New Roman" w:hAnsi="Times New Roman"/>
        </w:rPr>
        <w:t>。</w:t>
      </w:r>
      <w:bookmarkStart w:id="77" w:name="_Toc479171783"/>
      <w:bookmarkStart w:id="78" w:name="_Toc479175370"/>
      <w:bookmarkStart w:id="79" w:name="_Toc479257328"/>
    </w:p>
    <w:p w14:paraId="5D46A1EB" w14:textId="05BA978D" w:rsidR="00F266AE" w:rsidRDefault="00F266AE" w:rsidP="00F266AE">
      <w:pPr>
        <w:pStyle w:val="aff0"/>
        <w:spacing w:before="156" w:after="156"/>
        <w:rPr>
          <w:rFonts w:hint="eastAsia"/>
        </w:rPr>
      </w:pPr>
      <w:r>
        <w:rPr>
          <w:rFonts w:hint="eastAsia"/>
        </w:rPr>
        <w:t>事故发生的可能性（L）取值准则</w:t>
      </w:r>
      <w:bookmarkEnd w:id="77"/>
      <w:bookmarkEnd w:id="78"/>
      <w:bookmarkEnd w:id="79"/>
    </w:p>
    <w:tbl>
      <w:tblPr>
        <w:tblStyle w:val="affff9"/>
        <w:tblW w:w="919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1877"/>
        <w:gridCol w:w="6199"/>
      </w:tblGrid>
      <w:tr w:rsidR="00F266AE" w:rsidRPr="009A78D7" w14:paraId="509B6A49" w14:textId="77777777" w:rsidTr="00965AE2">
        <w:trPr>
          <w:trHeight w:hRule="exact" w:val="397"/>
          <w:jc w:val="center"/>
        </w:trPr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79BE8B36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A78D7">
              <w:rPr>
                <w:rFonts w:ascii="黑体" w:eastAsia="黑体" w:hAnsi="黑体"/>
                <w:kern w:val="0"/>
                <w:sz w:val="18"/>
                <w:szCs w:val="18"/>
              </w:rPr>
              <w:t>分数值</w:t>
            </w:r>
          </w:p>
        </w:tc>
        <w:tc>
          <w:tcPr>
            <w:tcW w:w="1877" w:type="dxa"/>
            <w:vAlign w:val="center"/>
          </w:tcPr>
          <w:p w14:paraId="1DEF8477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A78D7">
              <w:rPr>
                <w:rFonts w:ascii="黑体" w:eastAsia="黑体" w:hAnsi="黑体"/>
                <w:kern w:val="0"/>
                <w:sz w:val="18"/>
                <w:szCs w:val="18"/>
              </w:rPr>
              <w:t>事故发生的可能性</w:t>
            </w:r>
          </w:p>
        </w:tc>
        <w:tc>
          <w:tcPr>
            <w:tcW w:w="6199" w:type="dxa"/>
            <w:tcBorders>
              <w:right w:val="single" w:sz="4" w:space="0" w:color="auto"/>
            </w:tcBorders>
            <w:vAlign w:val="center"/>
          </w:tcPr>
          <w:p w14:paraId="08B987CD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9A78D7">
              <w:rPr>
                <w:rFonts w:ascii="黑体" w:eastAsia="黑体" w:hAnsi="黑体"/>
                <w:kern w:val="0"/>
                <w:sz w:val="18"/>
                <w:szCs w:val="18"/>
              </w:rPr>
              <w:t>判定依据</w:t>
            </w:r>
          </w:p>
        </w:tc>
      </w:tr>
      <w:tr w:rsidR="00F266AE" w:rsidRPr="009A78D7" w14:paraId="478CC456" w14:textId="77777777" w:rsidTr="009A78D7">
        <w:trPr>
          <w:trHeight w:hRule="exact" w:val="1238"/>
          <w:jc w:val="center"/>
        </w:trPr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75494FCD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877" w:type="dxa"/>
            <w:vAlign w:val="center"/>
          </w:tcPr>
          <w:p w14:paraId="18877126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完全可以预料</w:t>
            </w:r>
          </w:p>
        </w:tc>
        <w:tc>
          <w:tcPr>
            <w:tcW w:w="6199" w:type="dxa"/>
            <w:tcBorders>
              <w:right w:val="single" w:sz="4" w:space="0" w:color="auto"/>
            </w:tcBorders>
            <w:vAlign w:val="center"/>
          </w:tcPr>
          <w:p w14:paraId="1F0C7415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符合下列条件之一：</w:t>
            </w:r>
          </w:p>
          <w:p w14:paraId="3BCE02BA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）人员直接暴露在危险环境中，无任何工程技术防护措施；</w:t>
            </w:r>
          </w:p>
          <w:p w14:paraId="694B5CC7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）发生在危险环境，且环境因素可能诱发事故的作业行为；</w:t>
            </w:r>
          </w:p>
          <w:p w14:paraId="0B333BE0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）本单位发生过类似事故，且事后未从工程技术防护层面改善的。</w:t>
            </w:r>
          </w:p>
        </w:tc>
      </w:tr>
      <w:tr w:rsidR="00F266AE" w:rsidRPr="009A78D7" w14:paraId="4A4D8F07" w14:textId="77777777" w:rsidTr="009A78D7">
        <w:trPr>
          <w:trHeight w:hRule="exact" w:val="1838"/>
          <w:jc w:val="center"/>
        </w:trPr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7E54E769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877" w:type="dxa"/>
            <w:vAlign w:val="center"/>
          </w:tcPr>
          <w:p w14:paraId="1A3EB4FD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相当可能</w:t>
            </w:r>
          </w:p>
        </w:tc>
        <w:tc>
          <w:tcPr>
            <w:tcW w:w="6199" w:type="dxa"/>
            <w:tcBorders>
              <w:right w:val="single" w:sz="4" w:space="0" w:color="auto"/>
            </w:tcBorders>
            <w:vAlign w:val="center"/>
          </w:tcPr>
          <w:p w14:paraId="72B1FB8A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符合下列条件之一：</w:t>
            </w:r>
          </w:p>
          <w:p w14:paraId="310BCEBA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）作业行为涉及的过程有工程技术防护措施（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BCPS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），但仅能通过专业检测才能发现其故障失效；</w:t>
            </w:r>
          </w:p>
          <w:p w14:paraId="2D067722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）作业使用的淘汰设备或有缺陷的设备、工具；</w:t>
            </w:r>
          </w:p>
          <w:p w14:paraId="6C152AB7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）不安全行为不能被及时发现并制止；</w:t>
            </w:r>
          </w:p>
          <w:p w14:paraId="0314A6BF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）异常作业未进行风险分析并采取风险管控措施的。</w:t>
            </w:r>
          </w:p>
        </w:tc>
      </w:tr>
      <w:tr w:rsidR="00F266AE" w:rsidRPr="009A78D7" w14:paraId="4BF132F3" w14:textId="77777777" w:rsidTr="009A78D7">
        <w:trPr>
          <w:trHeight w:hRule="exact" w:val="1848"/>
          <w:jc w:val="center"/>
        </w:trPr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1C74EEBE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77" w:type="dxa"/>
            <w:vAlign w:val="center"/>
          </w:tcPr>
          <w:p w14:paraId="4CF7A86B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可能，但不经常</w:t>
            </w:r>
          </w:p>
        </w:tc>
        <w:tc>
          <w:tcPr>
            <w:tcW w:w="6199" w:type="dxa"/>
            <w:tcBorders>
              <w:right w:val="single" w:sz="4" w:space="0" w:color="auto"/>
            </w:tcBorders>
            <w:vAlign w:val="center"/>
          </w:tcPr>
          <w:p w14:paraId="5404EFF4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符合下列条件之一：</w:t>
            </w:r>
          </w:p>
          <w:p w14:paraId="5C7650BC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）作业行为涉及的过程有工程技术防护措施（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BCPS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），但故障时不报警，且不影响操作；</w:t>
            </w:r>
          </w:p>
          <w:p w14:paraId="4204281E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）作业前不对设备进行检查或确认，不能确保防护措施有效；</w:t>
            </w:r>
          </w:p>
          <w:p w14:paraId="3483EF59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）作业行为由未经专业训练的人来完成；</w:t>
            </w:r>
          </w:p>
          <w:p w14:paraId="44820B1D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）常规作业无安全操作规程，或操作规程未基于岗位风险编制。</w:t>
            </w:r>
          </w:p>
        </w:tc>
      </w:tr>
      <w:tr w:rsidR="00F266AE" w:rsidRPr="009A78D7" w14:paraId="4880B867" w14:textId="77777777" w:rsidTr="009A78D7">
        <w:trPr>
          <w:trHeight w:hRule="exact" w:val="1574"/>
          <w:jc w:val="center"/>
        </w:trPr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7F3C5ED4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77" w:type="dxa"/>
            <w:vAlign w:val="center"/>
          </w:tcPr>
          <w:p w14:paraId="4A0EE0F4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可能性小，完全意外</w:t>
            </w:r>
          </w:p>
        </w:tc>
        <w:tc>
          <w:tcPr>
            <w:tcW w:w="6199" w:type="dxa"/>
            <w:tcBorders>
              <w:right w:val="single" w:sz="4" w:space="0" w:color="auto"/>
            </w:tcBorders>
            <w:vAlign w:val="center"/>
          </w:tcPr>
          <w:p w14:paraId="37D8C6E2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符合下列条件之一：</w:t>
            </w:r>
          </w:p>
          <w:p w14:paraId="1252A891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）作业行为涉及的过程有工程技术防护措施（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BCPS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），且故障时会报警并被及时发现；</w:t>
            </w:r>
          </w:p>
          <w:p w14:paraId="08197BB3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）经过审批且采取了充分安全防范措施的危险作业；</w:t>
            </w:r>
          </w:p>
          <w:p w14:paraId="54AB3E45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）异常作业，有风险分析且落实了风险管控措施。</w:t>
            </w:r>
          </w:p>
        </w:tc>
      </w:tr>
      <w:tr w:rsidR="00F266AE" w:rsidRPr="009A78D7" w14:paraId="7E2A48E5" w14:textId="77777777" w:rsidTr="009A78D7">
        <w:trPr>
          <w:trHeight w:hRule="exact" w:val="1310"/>
          <w:jc w:val="center"/>
        </w:trPr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0D2F315F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1877" w:type="dxa"/>
            <w:vAlign w:val="center"/>
          </w:tcPr>
          <w:p w14:paraId="6685B6D7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很不可能，可以设想</w:t>
            </w:r>
          </w:p>
        </w:tc>
        <w:tc>
          <w:tcPr>
            <w:tcW w:w="6199" w:type="dxa"/>
            <w:tcBorders>
              <w:right w:val="single" w:sz="4" w:space="0" w:color="auto"/>
            </w:tcBorders>
            <w:vAlign w:val="center"/>
          </w:tcPr>
          <w:p w14:paraId="32C45230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符合下列条件之一：</w:t>
            </w:r>
          </w:p>
          <w:p w14:paraId="3091CD7C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）作业行为涉及的过程有工程技术防护措施（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BCPS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），故障时会报警，且锁定在安全状态；</w:t>
            </w:r>
          </w:p>
          <w:p w14:paraId="592867FD" w14:textId="0BE8F12E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）有安全操作规程的常规作业活动。</w:t>
            </w:r>
          </w:p>
        </w:tc>
      </w:tr>
      <w:tr w:rsidR="00F266AE" w:rsidRPr="009A78D7" w14:paraId="5CAD8D7F" w14:textId="77777777" w:rsidTr="009A78D7">
        <w:trPr>
          <w:trHeight w:hRule="exact" w:val="1582"/>
          <w:jc w:val="center"/>
        </w:trPr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373B804A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1877" w:type="dxa"/>
            <w:vAlign w:val="center"/>
          </w:tcPr>
          <w:p w14:paraId="00B55D8B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极不可能</w:t>
            </w:r>
          </w:p>
        </w:tc>
        <w:tc>
          <w:tcPr>
            <w:tcW w:w="6199" w:type="dxa"/>
            <w:tcBorders>
              <w:right w:val="single" w:sz="4" w:space="0" w:color="auto"/>
            </w:tcBorders>
            <w:vAlign w:val="center"/>
          </w:tcPr>
          <w:p w14:paraId="48D25BFC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符合下列所有条件：</w:t>
            </w:r>
          </w:p>
          <w:p w14:paraId="491FBF1E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）作业行为涉及的过程有工程技术防护措施（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BCPS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），故障时会报警，且锁定在安全状态；</w:t>
            </w:r>
          </w:p>
          <w:p w14:paraId="61F3CEC4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）常规作业，且操作规程基于风险编制；</w:t>
            </w:r>
          </w:p>
          <w:p w14:paraId="6150327B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）操作人员训练有素，且发生违章也不至于发生事故。</w:t>
            </w:r>
          </w:p>
        </w:tc>
      </w:tr>
      <w:tr w:rsidR="00F266AE" w:rsidRPr="009A78D7" w14:paraId="08F194F0" w14:textId="77777777" w:rsidTr="009A78D7">
        <w:trPr>
          <w:trHeight w:hRule="exact" w:val="482"/>
          <w:jc w:val="center"/>
        </w:trPr>
        <w:tc>
          <w:tcPr>
            <w:tcW w:w="1114" w:type="dxa"/>
            <w:tcBorders>
              <w:left w:val="single" w:sz="4" w:space="0" w:color="auto"/>
            </w:tcBorders>
            <w:vAlign w:val="center"/>
          </w:tcPr>
          <w:p w14:paraId="091A21CC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0.1</w:t>
            </w:r>
          </w:p>
        </w:tc>
        <w:tc>
          <w:tcPr>
            <w:tcW w:w="1877" w:type="dxa"/>
            <w:vAlign w:val="center"/>
          </w:tcPr>
          <w:p w14:paraId="4A8F4EB9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实际不可能</w:t>
            </w:r>
          </w:p>
        </w:tc>
        <w:tc>
          <w:tcPr>
            <w:tcW w:w="6199" w:type="dxa"/>
            <w:tcBorders>
              <w:right w:val="single" w:sz="4" w:space="0" w:color="auto"/>
            </w:tcBorders>
            <w:vAlign w:val="center"/>
          </w:tcPr>
          <w:p w14:paraId="76CBF136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生产活动中，实际上不可能发生事故的作业活动。</w:t>
            </w:r>
          </w:p>
        </w:tc>
      </w:tr>
    </w:tbl>
    <w:p w14:paraId="36EB7974" w14:textId="1C912153" w:rsidR="00F266AE" w:rsidRDefault="00F266AE" w:rsidP="009A78D7">
      <w:pPr>
        <w:pStyle w:val="aff5"/>
        <w:spacing w:before="156" w:after="156"/>
        <w:rPr>
          <w:rFonts w:hint="eastAsia"/>
        </w:rPr>
      </w:pPr>
      <w:r>
        <w:rPr>
          <w:rFonts w:hint="eastAsia"/>
        </w:rPr>
        <w:lastRenderedPageBreak/>
        <w:t>暴露于危险环境的频繁程度（E）取值准则</w:t>
      </w:r>
    </w:p>
    <w:p w14:paraId="50EC1EE1" w14:textId="15807AF8" w:rsidR="009A78D7" w:rsidRDefault="00F266AE" w:rsidP="009A78D7">
      <w:pPr>
        <w:widowControl/>
        <w:adjustRightInd/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暴露于危险环境的频繁</w:t>
      </w:r>
      <w:r w:rsidRPr="009A78D7">
        <w:rPr>
          <w:rFonts w:ascii="Times New Roman" w:hAnsi="Times New Roman"/>
        </w:rPr>
        <w:t>程度（</w:t>
      </w:r>
      <w:r w:rsidRPr="009A78D7">
        <w:rPr>
          <w:rFonts w:ascii="Times New Roman" w:hAnsi="Times New Roman"/>
        </w:rPr>
        <w:t>E</w:t>
      </w:r>
      <w:r w:rsidRPr="009A78D7">
        <w:rPr>
          <w:rFonts w:ascii="Times New Roman" w:hAnsi="Times New Roman"/>
        </w:rPr>
        <w:t>）取值准则见表</w:t>
      </w:r>
      <w:r w:rsidRPr="009A78D7">
        <w:rPr>
          <w:rFonts w:ascii="Times New Roman" w:hAnsi="Times New Roman"/>
        </w:rPr>
        <w:t>B.2</w:t>
      </w:r>
      <w:r w:rsidRPr="009A78D7">
        <w:rPr>
          <w:rFonts w:ascii="Times New Roman" w:hAnsi="Times New Roman"/>
        </w:rPr>
        <w:t>。</w:t>
      </w:r>
    </w:p>
    <w:p w14:paraId="2FD3829B" w14:textId="58B6C90F" w:rsidR="00F266AE" w:rsidRDefault="00F266AE" w:rsidP="009A78D7">
      <w:pPr>
        <w:pStyle w:val="aff0"/>
        <w:spacing w:before="156" w:after="156"/>
        <w:rPr>
          <w:rFonts w:hint="eastAsia"/>
        </w:rPr>
      </w:pPr>
      <w:r>
        <w:rPr>
          <w:rFonts w:hint="eastAsia"/>
        </w:rPr>
        <w:t>暴露于危险环境的频繁程度（E）取值准则</w:t>
      </w:r>
    </w:p>
    <w:tbl>
      <w:tblPr>
        <w:tblStyle w:val="affff9"/>
        <w:tblW w:w="929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2901"/>
        <w:gridCol w:w="5479"/>
      </w:tblGrid>
      <w:tr w:rsidR="00F266AE" w:rsidRPr="009A78D7" w14:paraId="432A0986" w14:textId="77777777" w:rsidTr="009A78D7">
        <w:trPr>
          <w:trHeight w:hRule="exact" w:val="397"/>
          <w:jc w:val="center"/>
        </w:trPr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14:paraId="6046521F" w14:textId="77777777" w:rsidR="00F266AE" w:rsidRPr="009A78D7" w:rsidRDefault="00F266AE" w:rsidP="009A78D7">
            <w:pPr>
              <w:widowControl/>
              <w:spacing w:line="240" w:lineRule="auto"/>
              <w:jc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eastAsia="黑体" w:hAnsi="Times New Roman"/>
                <w:kern w:val="0"/>
                <w:sz w:val="18"/>
                <w:szCs w:val="18"/>
              </w:rPr>
              <w:t>分数值</w:t>
            </w:r>
          </w:p>
        </w:tc>
        <w:tc>
          <w:tcPr>
            <w:tcW w:w="2901" w:type="dxa"/>
            <w:vAlign w:val="center"/>
          </w:tcPr>
          <w:p w14:paraId="04C949A1" w14:textId="77777777" w:rsidR="00F266AE" w:rsidRPr="009A78D7" w:rsidRDefault="00F266AE" w:rsidP="009A78D7">
            <w:pPr>
              <w:widowControl/>
              <w:spacing w:line="240" w:lineRule="auto"/>
              <w:jc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eastAsia="黑体" w:hAnsi="Times New Roman"/>
                <w:kern w:val="0"/>
                <w:sz w:val="18"/>
                <w:szCs w:val="18"/>
              </w:rPr>
              <w:t>暴露于危险环境的频繁程度</w:t>
            </w:r>
          </w:p>
        </w:tc>
        <w:tc>
          <w:tcPr>
            <w:tcW w:w="5479" w:type="dxa"/>
            <w:tcBorders>
              <w:right w:val="single" w:sz="4" w:space="0" w:color="auto"/>
            </w:tcBorders>
            <w:vAlign w:val="center"/>
          </w:tcPr>
          <w:p w14:paraId="391A5B36" w14:textId="77777777" w:rsidR="00F266AE" w:rsidRPr="009A78D7" w:rsidRDefault="00F266AE" w:rsidP="009A78D7">
            <w:pPr>
              <w:widowControl/>
              <w:spacing w:line="240" w:lineRule="auto"/>
              <w:jc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eastAsia="黑体" w:hAnsi="Times New Roman"/>
                <w:kern w:val="0"/>
                <w:sz w:val="18"/>
                <w:szCs w:val="18"/>
              </w:rPr>
              <w:t>判定依据</w:t>
            </w:r>
          </w:p>
        </w:tc>
      </w:tr>
      <w:tr w:rsidR="00F266AE" w:rsidRPr="009A78D7" w14:paraId="3EF38CDE" w14:textId="77777777" w:rsidTr="00965AE2">
        <w:trPr>
          <w:trHeight w:hRule="exact" w:val="454"/>
          <w:jc w:val="center"/>
        </w:trPr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14:paraId="3EBC2A87" w14:textId="77777777" w:rsidR="00F266AE" w:rsidRPr="009A78D7" w:rsidRDefault="00F266AE" w:rsidP="00965AE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901" w:type="dxa"/>
            <w:vAlign w:val="center"/>
          </w:tcPr>
          <w:p w14:paraId="53B85682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连续暴露</w:t>
            </w:r>
          </w:p>
        </w:tc>
        <w:tc>
          <w:tcPr>
            <w:tcW w:w="5479" w:type="dxa"/>
            <w:tcBorders>
              <w:right w:val="single" w:sz="4" w:space="0" w:color="auto"/>
            </w:tcBorders>
            <w:vAlign w:val="center"/>
          </w:tcPr>
          <w:p w14:paraId="61DB8E6B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风险始终存在，不随作业活动停止而消失或降低。</w:t>
            </w:r>
          </w:p>
        </w:tc>
      </w:tr>
      <w:tr w:rsidR="00F266AE" w:rsidRPr="009A78D7" w14:paraId="736D638B" w14:textId="77777777" w:rsidTr="00965AE2">
        <w:trPr>
          <w:trHeight w:hRule="exact" w:val="454"/>
          <w:jc w:val="center"/>
        </w:trPr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14:paraId="206FED01" w14:textId="77777777" w:rsidR="00F266AE" w:rsidRPr="009A78D7" w:rsidRDefault="00F266AE" w:rsidP="00965AE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01" w:type="dxa"/>
            <w:vAlign w:val="center"/>
          </w:tcPr>
          <w:p w14:paraId="00E3F65D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每天工作时间内暴露</w:t>
            </w:r>
          </w:p>
        </w:tc>
        <w:tc>
          <w:tcPr>
            <w:tcW w:w="5479" w:type="dxa"/>
            <w:tcBorders>
              <w:right w:val="single" w:sz="4" w:space="0" w:color="auto"/>
            </w:tcBorders>
            <w:vAlign w:val="center"/>
          </w:tcPr>
          <w:p w14:paraId="446F0DB3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风险仅在作业时发生，且伴随全部作业时间。</w:t>
            </w:r>
          </w:p>
        </w:tc>
      </w:tr>
      <w:tr w:rsidR="00F266AE" w:rsidRPr="009A78D7" w14:paraId="0682A587" w14:textId="77777777" w:rsidTr="00965AE2">
        <w:trPr>
          <w:trHeight w:hRule="exact" w:val="454"/>
          <w:jc w:val="center"/>
        </w:trPr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14:paraId="4690B6CB" w14:textId="77777777" w:rsidR="00F266AE" w:rsidRPr="009A78D7" w:rsidRDefault="00F266AE" w:rsidP="00965AE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01" w:type="dxa"/>
            <w:vAlign w:val="center"/>
          </w:tcPr>
          <w:p w14:paraId="38C167C8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每周一次或偶然暴露</w:t>
            </w:r>
          </w:p>
        </w:tc>
        <w:tc>
          <w:tcPr>
            <w:tcW w:w="5479" w:type="dxa"/>
            <w:tcBorders>
              <w:right w:val="single" w:sz="4" w:space="0" w:color="auto"/>
            </w:tcBorders>
            <w:vAlign w:val="center"/>
          </w:tcPr>
          <w:p w14:paraId="6EB73BEB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作业时间内，只是偶然会接触到危险有害因素。</w:t>
            </w:r>
          </w:p>
        </w:tc>
      </w:tr>
      <w:tr w:rsidR="00F266AE" w:rsidRPr="009A78D7" w14:paraId="0C63FAC0" w14:textId="77777777" w:rsidTr="00965AE2">
        <w:trPr>
          <w:trHeight w:hRule="exact" w:val="454"/>
          <w:jc w:val="center"/>
        </w:trPr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14:paraId="5D14E8F5" w14:textId="77777777" w:rsidR="00F266AE" w:rsidRPr="009A78D7" w:rsidRDefault="00F266AE" w:rsidP="00965AE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01" w:type="dxa"/>
            <w:vAlign w:val="center"/>
          </w:tcPr>
          <w:p w14:paraId="0639F2B2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每月一次暴露</w:t>
            </w:r>
          </w:p>
        </w:tc>
        <w:tc>
          <w:tcPr>
            <w:tcW w:w="5479" w:type="dxa"/>
            <w:tcBorders>
              <w:right w:val="single" w:sz="4" w:space="0" w:color="auto"/>
            </w:tcBorders>
            <w:vAlign w:val="center"/>
          </w:tcPr>
          <w:p w14:paraId="78205B85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作业活动时间内，每月才可能发生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次接触危险有害因素的机会。</w:t>
            </w:r>
          </w:p>
        </w:tc>
      </w:tr>
      <w:tr w:rsidR="00F266AE" w:rsidRPr="009A78D7" w14:paraId="75760AC5" w14:textId="77777777" w:rsidTr="00965AE2">
        <w:trPr>
          <w:trHeight w:hRule="exact" w:val="454"/>
          <w:jc w:val="center"/>
        </w:trPr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14:paraId="72974DEC" w14:textId="77777777" w:rsidR="00F266AE" w:rsidRPr="009A78D7" w:rsidRDefault="00F266AE" w:rsidP="00965AE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01" w:type="dxa"/>
            <w:vAlign w:val="center"/>
          </w:tcPr>
          <w:p w14:paraId="31953D16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每年几次暴露</w:t>
            </w:r>
          </w:p>
        </w:tc>
        <w:tc>
          <w:tcPr>
            <w:tcW w:w="5479" w:type="dxa"/>
            <w:tcBorders>
              <w:right w:val="single" w:sz="4" w:space="0" w:color="auto"/>
            </w:tcBorders>
            <w:vAlign w:val="center"/>
          </w:tcPr>
          <w:p w14:paraId="455553A0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每年只有几次机会接触危险有害因素。</w:t>
            </w:r>
          </w:p>
        </w:tc>
      </w:tr>
      <w:tr w:rsidR="00F266AE" w:rsidRPr="009A78D7" w14:paraId="64D78019" w14:textId="77777777" w:rsidTr="00965AE2">
        <w:trPr>
          <w:trHeight w:hRule="exact" w:val="454"/>
          <w:jc w:val="center"/>
        </w:trPr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14:paraId="4C882C1D" w14:textId="77777777" w:rsidR="00F266AE" w:rsidRPr="009A78D7" w:rsidRDefault="00F266AE" w:rsidP="00965AE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2901" w:type="dxa"/>
            <w:vAlign w:val="center"/>
          </w:tcPr>
          <w:p w14:paraId="1F113AD1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非常罕见暴露</w:t>
            </w:r>
          </w:p>
        </w:tc>
        <w:tc>
          <w:tcPr>
            <w:tcW w:w="5479" w:type="dxa"/>
            <w:tcBorders>
              <w:right w:val="single" w:sz="4" w:space="0" w:color="auto"/>
            </w:tcBorders>
            <w:vAlign w:val="center"/>
          </w:tcPr>
          <w:p w14:paraId="730A1513" w14:textId="77777777" w:rsidR="00F266AE" w:rsidRPr="009A78D7" w:rsidRDefault="00F266AE" w:rsidP="00965AE2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作业过程和危险有害因素完全隔离，几乎不会接触危险有害因素的操作。</w:t>
            </w:r>
          </w:p>
        </w:tc>
      </w:tr>
    </w:tbl>
    <w:p w14:paraId="3A5A2536" w14:textId="536B5BB8" w:rsidR="00F266AE" w:rsidRDefault="00F266AE" w:rsidP="009A78D7">
      <w:pPr>
        <w:pStyle w:val="aff5"/>
        <w:spacing w:before="156" w:after="156"/>
        <w:rPr>
          <w:rFonts w:hint="eastAsia"/>
        </w:rPr>
      </w:pPr>
      <w:r>
        <w:rPr>
          <w:rFonts w:hint="eastAsia"/>
        </w:rPr>
        <w:t>发生事故产生的后果严重性（C）取值准则</w:t>
      </w:r>
    </w:p>
    <w:p w14:paraId="2F525233" w14:textId="77777777" w:rsidR="00F266AE" w:rsidRPr="009A78D7" w:rsidRDefault="00F266AE" w:rsidP="00F266AE">
      <w:pPr>
        <w:adjustRightInd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</w:rPr>
        <w:t>发生事故产生的后果严</w:t>
      </w:r>
      <w:r w:rsidRPr="009A78D7">
        <w:rPr>
          <w:rFonts w:ascii="Times New Roman" w:hAnsi="Times New Roman"/>
        </w:rPr>
        <w:t>重性（</w:t>
      </w:r>
      <w:r w:rsidRPr="009A78D7">
        <w:rPr>
          <w:rFonts w:ascii="Times New Roman" w:hAnsi="Times New Roman"/>
        </w:rPr>
        <w:t>C</w:t>
      </w:r>
      <w:r w:rsidRPr="009A78D7">
        <w:rPr>
          <w:rFonts w:ascii="Times New Roman" w:hAnsi="Times New Roman"/>
        </w:rPr>
        <w:t>）取值准则具体见表</w:t>
      </w:r>
      <w:r w:rsidRPr="009A78D7">
        <w:rPr>
          <w:rFonts w:ascii="Times New Roman" w:hAnsi="Times New Roman"/>
        </w:rPr>
        <w:t>B.3</w:t>
      </w:r>
      <w:r w:rsidRPr="009A78D7">
        <w:rPr>
          <w:rFonts w:ascii="Times New Roman" w:hAnsi="Times New Roman"/>
        </w:rPr>
        <w:t>。</w:t>
      </w:r>
    </w:p>
    <w:p w14:paraId="0428303E" w14:textId="5A0DD00C" w:rsidR="00F266AE" w:rsidRDefault="00F266AE" w:rsidP="009A78D7">
      <w:pPr>
        <w:pStyle w:val="aff0"/>
        <w:spacing w:before="156" w:after="156"/>
        <w:rPr>
          <w:rFonts w:hint="eastAsia"/>
        </w:rPr>
      </w:pPr>
      <w:r>
        <w:rPr>
          <w:rFonts w:hint="eastAsia"/>
        </w:rPr>
        <w:t>发生事故产生的后果严重性（C）取值准则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431"/>
        <w:gridCol w:w="1575"/>
        <w:gridCol w:w="2175"/>
        <w:gridCol w:w="2343"/>
      </w:tblGrid>
      <w:tr w:rsidR="00F266AE" w:rsidRPr="009A78D7" w14:paraId="5BD79B9F" w14:textId="77777777" w:rsidTr="00965AE2">
        <w:trPr>
          <w:trHeight w:hRule="exact" w:val="454"/>
          <w:jc w:val="center"/>
        </w:trPr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14CF7977" w14:textId="77777777" w:rsidR="00F266AE" w:rsidRPr="009A78D7" w:rsidRDefault="00F266AE" w:rsidP="00965AE2">
            <w:pPr>
              <w:adjustRightInd/>
              <w:spacing w:line="240" w:lineRule="exact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A78D7">
              <w:rPr>
                <w:rFonts w:ascii="Times New Roman" w:eastAsia="黑体" w:hAnsi="Times New Roman"/>
                <w:sz w:val="18"/>
                <w:szCs w:val="18"/>
              </w:rPr>
              <w:t>分值</w:t>
            </w:r>
          </w:p>
        </w:tc>
        <w:tc>
          <w:tcPr>
            <w:tcW w:w="2431" w:type="dxa"/>
            <w:vAlign w:val="center"/>
          </w:tcPr>
          <w:p w14:paraId="767393E2" w14:textId="77777777" w:rsidR="00F266AE" w:rsidRPr="009A78D7" w:rsidRDefault="00F266AE" w:rsidP="00965AE2">
            <w:pPr>
              <w:adjustRightInd/>
              <w:spacing w:line="240" w:lineRule="exact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A78D7">
              <w:rPr>
                <w:rFonts w:ascii="Times New Roman" w:eastAsia="黑体" w:hAnsi="Times New Roman"/>
                <w:sz w:val="18"/>
                <w:szCs w:val="18"/>
              </w:rPr>
              <w:t>人员伤亡</w:t>
            </w:r>
          </w:p>
        </w:tc>
        <w:tc>
          <w:tcPr>
            <w:tcW w:w="1575" w:type="dxa"/>
            <w:vAlign w:val="center"/>
          </w:tcPr>
          <w:p w14:paraId="4AFD3425" w14:textId="77777777" w:rsidR="00F266AE" w:rsidRPr="009A78D7" w:rsidRDefault="00F266AE" w:rsidP="00965AE2">
            <w:pPr>
              <w:adjustRightInd/>
              <w:spacing w:line="240" w:lineRule="exact"/>
              <w:rPr>
                <w:rFonts w:ascii="Times New Roman" w:eastAsia="黑体" w:hAnsi="Times New Roman"/>
                <w:sz w:val="18"/>
                <w:szCs w:val="18"/>
              </w:rPr>
            </w:pPr>
            <w:r w:rsidRPr="009A78D7">
              <w:rPr>
                <w:rFonts w:ascii="Times New Roman" w:eastAsia="黑体" w:hAnsi="Times New Roman"/>
                <w:sz w:val="18"/>
                <w:szCs w:val="18"/>
              </w:rPr>
              <w:t>直接经济损失</w:t>
            </w:r>
          </w:p>
        </w:tc>
        <w:tc>
          <w:tcPr>
            <w:tcW w:w="2175" w:type="dxa"/>
            <w:vAlign w:val="center"/>
          </w:tcPr>
          <w:p w14:paraId="6EC650C5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center"/>
              <w:rPr>
                <w:rFonts w:ascii="Times New Roman" w:eastAsia="黑体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eastAsia="黑体" w:hAnsi="Times New Roman"/>
                <w:kern w:val="0"/>
                <w:sz w:val="18"/>
                <w:szCs w:val="18"/>
              </w:rPr>
              <w:t>环境破坏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491593E5" w14:textId="77777777" w:rsidR="00F266AE" w:rsidRPr="009A78D7" w:rsidRDefault="00F266AE" w:rsidP="00965AE2">
            <w:pPr>
              <w:adjustRightInd/>
              <w:spacing w:line="240" w:lineRule="exact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A78D7">
              <w:rPr>
                <w:rFonts w:ascii="Times New Roman" w:eastAsia="黑体" w:hAnsi="Times New Roman"/>
                <w:sz w:val="18"/>
                <w:szCs w:val="18"/>
              </w:rPr>
              <w:t>公司形象</w:t>
            </w:r>
          </w:p>
        </w:tc>
      </w:tr>
      <w:tr w:rsidR="00F266AE" w:rsidRPr="009A78D7" w14:paraId="165B2F01" w14:textId="77777777" w:rsidTr="009C0305">
        <w:trPr>
          <w:trHeight w:hRule="exact" w:val="604"/>
          <w:jc w:val="center"/>
        </w:trPr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7979FE05" w14:textId="77777777" w:rsidR="00F266AE" w:rsidRPr="009A78D7" w:rsidRDefault="00F266AE" w:rsidP="00965AE2">
            <w:pPr>
              <w:adjustRightInd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1" w:type="dxa"/>
            <w:vAlign w:val="center"/>
          </w:tcPr>
          <w:p w14:paraId="58130F29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10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人以上死亡，或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5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人以上重伤</w:t>
            </w:r>
          </w:p>
        </w:tc>
        <w:tc>
          <w:tcPr>
            <w:tcW w:w="1575" w:type="dxa"/>
            <w:vAlign w:val="center"/>
          </w:tcPr>
          <w:p w14:paraId="6E396FC8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5000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万以上</w:t>
            </w:r>
          </w:p>
        </w:tc>
        <w:tc>
          <w:tcPr>
            <w:tcW w:w="2175" w:type="dxa"/>
            <w:vAlign w:val="center"/>
          </w:tcPr>
          <w:p w14:paraId="2C824E55" w14:textId="77777777" w:rsidR="00F266AE" w:rsidRPr="009A78D7" w:rsidRDefault="00F266AE" w:rsidP="00965AE2">
            <w:pPr>
              <w:widowControl/>
              <w:adjustRightInd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造成区域环境影响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1E03E454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重大国际、国内影响</w:t>
            </w:r>
          </w:p>
        </w:tc>
      </w:tr>
      <w:tr w:rsidR="00F266AE" w:rsidRPr="009A78D7" w14:paraId="0373D01E" w14:textId="77777777" w:rsidTr="009C0305">
        <w:trPr>
          <w:trHeight w:hRule="exact" w:val="555"/>
          <w:jc w:val="center"/>
        </w:trPr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4326ED97" w14:textId="77777777" w:rsidR="00F266AE" w:rsidRPr="009A78D7" w:rsidRDefault="00F266AE" w:rsidP="00965AE2">
            <w:pPr>
              <w:adjustRightInd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431" w:type="dxa"/>
            <w:vAlign w:val="center"/>
          </w:tcPr>
          <w:p w14:paraId="4775847C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3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人以上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10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人以下死亡，或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10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人以上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50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人以下重伤</w:t>
            </w:r>
          </w:p>
        </w:tc>
        <w:tc>
          <w:tcPr>
            <w:tcW w:w="1575" w:type="dxa"/>
            <w:vAlign w:val="center"/>
          </w:tcPr>
          <w:p w14:paraId="02685F98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1000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万以上</w:t>
            </w:r>
          </w:p>
        </w:tc>
        <w:tc>
          <w:tcPr>
            <w:tcW w:w="2175" w:type="dxa"/>
            <w:vAlign w:val="center"/>
          </w:tcPr>
          <w:p w14:paraId="7927F5D3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环境影响超出厂界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0D0E94EC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行业内、省内影响</w:t>
            </w:r>
          </w:p>
        </w:tc>
      </w:tr>
      <w:tr w:rsidR="00F266AE" w:rsidRPr="009A78D7" w14:paraId="3AE9B004" w14:textId="77777777" w:rsidTr="009C0305">
        <w:trPr>
          <w:trHeight w:hRule="exact" w:val="577"/>
          <w:jc w:val="center"/>
        </w:trPr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0D03D316" w14:textId="77777777" w:rsidR="00F266AE" w:rsidRPr="009A78D7" w:rsidRDefault="00F266AE" w:rsidP="00965AE2">
            <w:pPr>
              <w:adjustRightInd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31" w:type="dxa"/>
            <w:vAlign w:val="center"/>
          </w:tcPr>
          <w:p w14:paraId="66C5B1B5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3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人以下死亡，或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10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人以下重伤</w:t>
            </w:r>
          </w:p>
        </w:tc>
        <w:tc>
          <w:tcPr>
            <w:tcW w:w="1575" w:type="dxa"/>
            <w:vAlign w:val="center"/>
          </w:tcPr>
          <w:p w14:paraId="493F47DE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100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万以上</w:t>
            </w:r>
          </w:p>
        </w:tc>
        <w:tc>
          <w:tcPr>
            <w:tcW w:w="2175" w:type="dxa"/>
            <w:vAlign w:val="center"/>
          </w:tcPr>
          <w:p w14:paraId="1BB4E4B2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环境影响超出所在建构筑物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05B63A5D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地区影响</w:t>
            </w:r>
          </w:p>
        </w:tc>
      </w:tr>
      <w:tr w:rsidR="00F266AE" w:rsidRPr="009A78D7" w14:paraId="380EA0FB" w14:textId="77777777" w:rsidTr="009C0305">
        <w:trPr>
          <w:trHeight w:hRule="exact" w:val="571"/>
          <w:jc w:val="center"/>
        </w:trPr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2126611" w14:textId="77777777" w:rsidR="00F266AE" w:rsidRPr="009A78D7" w:rsidRDefault="00F266AE" w:rsidP="00965AE2">
            <w:pPr>
              <w:adjustRightInd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31" w:type="dxa"/>
            <w:vAlign w:val="center"/>
          </w:tcPr>
          <w:p w14:paraId="06E26123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丧失劳动力、截肢、骨折、听力丧失、慢性病</w:t>
            </w:r>
          </w:p>
        </w:tc>
        <w:tc>
          <w:tcPr>
            <w:tcW w:w="1575" w:type="dxa"/>
            <w:vAlign w:val="center"/>
          </w:tcPr>
          <w:p w14:paraId="35B52FB7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10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万以上</w:t>
            </w:r>
          </w:p>
        </w:tc>
        <w:tc>
          <w:tcPr>
            <w:tcW w:w="2175" w:type="dxa"/>
            <w:vAlign w:val="center"/>
          </w:tcPr>
          <w:p w14:paraId="02F45B92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仅影响作业点附近，但造成环保设施工作异常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7369AC94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公司及周边范围</w:t>
            </w:r>
          </w:p>
        </w:tc>
      </w:tr>
      <w:tr w:rsidR="00F266AE" w:rsidRPr="009A78D7" w14:paraId="1E1B4B36" w14:textId="77777777" w:rsidTr="00965AE2">
        <w:trPr>
          <w:trHeight w:hRule="exact" w:val="454"/>
          <w:jc w:val="center"/>
        </w:trPr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2442874A" w14:textId="77777777" w:rsidR="00F266AE" w:rsidRPr="009A78D7" w:rsidRDefault="00F266AE" w:rsidP="00965AE2">
            <w:pPr>
              <w:adjustRightInd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31" w:type="dxa"/>
            <w:vAlign w:val="center"/>
          </w:tcPr>
          <w:p w14:paraId="274CEE03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轻微受伤、间歇不舒服</w:t>
            </w:r>
          </w:p>
        </w:tc>
        <w:tc>
          <w:tcPr>
            <w:tcW w:w="1575" w:type="dxa"/>
            <w:vAlign w:val="center"/>
          </w:tcPr>
          <w:p w14:paraId="4D53B18C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1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万以上</w:t>
            </w:r>
          </w:p>
        </w:tc>
        <w:tc>
          <w:tcPr>
            <w:tcW w:w="2175" w:type="dxa"/>
            <w:vAlign w:val="center"/>
          </w:tcPr>
          <w:p w14:paraId="1ECF1424" w14:textId="77777777" w:rsidR="00F266AE" w:rsidRPr="009A78D7" w:rsidRDefault="00F266AE" w:rsidP="00965AE2">
            <w:pPr>
              <w:widowControl/>
              <w:adjustRightInd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仅在作业点造成影响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0944591C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引人关注，不利于基本的安全卫生要求</w:t>
            </w:r>
          </w:p>
        </w:tc>
      </w:tr>
      <w:tr w:rsidR="00F266AE" w:rsidRPr="009A78D7" w14:paraId="3D4A8498" w14:textId="77777777" w:rsidTr="00965AE2">
        <w:trPr>
          <w:trHeight w:hRule="exact" w:val="454"/>
          <w:jc w:val="center"/>
        </w:trPr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18210766" w14:textId="77777777" w:rsidR="00F266AE" w:rsidRPr="009A78D7" w:rsidRDefault="00F266AE" w:rsidP="00965AE2">
            <w:pPr>
              <w:adjustRightInd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1" w:type="dxa"/>
            <w:vAlign w:val="center"/>
          </w:tcPr>
          <w:p w14:paraId="4625910C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无伤亡</w:t>
            </w:r>
          </w:p>
        </w:tc>
        <w:tc>
          <w:tcPr>
            <w:tcW w:w="1575" w:type="dxa"/>
            <w:vAlign w:val="center"/>
          </w:tcPr>
          <w:p w14:paraId="2A3A4DA8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1</w:t>
            </w:r>
            <w:r w:rsidRPr="009A78D7">
              <w:rPr>
                <w:rFonts w:ascii="Times New Roman" w:hAnsi="Times New Roman"/>
                <w:sz w:val="18"/>
                <w:szCs w:val="18"/>
              </w:rPr>
              <w:t>万以下</w:t>
            </w:r>
          </w:p>
        </w:tc>
        <w:tc>
          <w:tcPr>
            <w:tcW w:w="2175" w:type="dxa"/>
            <w:vAlign w:val="center"/>
          </w:tcPr>
          <w:p w14:paraId="19C1E6C6" w14:textId="77777777" w:rsidR="00F266AE" w:rsidRPr="009A78D7" w:rsidRDefault="00F266AE" w:rsidP="00965AE2">
            <w:pPr>
              <w:adjustRightInd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kern w:val="0"/>
                <w:sz w:val="18"/>
                <w:szCs w:val="18"/>
              </w:rPr>
              <w:t>基本无影响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3EBEEB02" w14:textId="77777777" w:rsidR="00F266AE" w:rsidRPr="009A78D7" w:rsidRDefault="00F266AE" w:rsidP="00965AE2">
            <w:pPr>
              <w:adjustRightIn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78D7">
              <w:rPr>
                <w:rFonts w:ascii="Times New Roman" w:hAnsi="Times New Roman"/>
                <w:sz w:val="18"/>
                <w:szCs w:val="18"/>
              </w:rPr>
              <w:t>形象没有受损</w:t>
            </w:r>
          </w:p>
        </w:tc>
      </w:tr>
    </w:tbl>
    <w:p w14:paraId="6ECD7F07" w14:textId="30727C45" w:rsidR="00F266AE" w:rsidRDefault="00F266AE" w:rsidP="009A78D7">
      <w:pPr>
        <w:pStyle w:val="aff5"/>
        <w:spacing w:before="156" w:after="156"/>
        <w:rPr>
          <w:rFonts w:hint="eastAsia"/>
        </w:rPr>
      </w:pPr>
      <w:r>
        <w:rPr>
          <w:rFonts w:hint="eastAsia"/>
        </w:rPr>
        <w:t>风险值（D）及等级判定准则</w:t>
      </w:r>
    </w:p>
    <w:p w14:paraId="789E0CCB" w14:textId="14C18244" w:rsidR="00F266AE" w:rsidRDefault="00F266AE" w:rsidP="009C0305">
      <w:pPr>
        <w:adjustRightInd/>
        <w:spacing w:line="360" w:lineRule="auto"/>
        <w:ind w:firstLineChars="200" w:firstLine="420"/>
        <w:rPr>
          <w:rFonts w:ascii="宋体" w:hAnsi="宋体" w:cs="宋体" w:hint="eastAsia"/>
        </w:rPr>
      </w:pPr>
      <w:bookmarkStart w:id="80" w:name="_Toc479257331"/>
      <w:bookmarkStart w:id="81" w:name="_Toc479171786"/>
      <w:bookmarkStart w:id="82" w:name="_Toc479175373"/>
      <w:r>
        <w:rPr>
          <w:rFonts w:ascii="宋体" w:hAnsi="宋体" w:cs="宋体" w:hint="eastAsia"/>
        </w:rPr>
        <w:t>风险值取值准则及对应风险等级判</w:t>
      </w:r>
      <w:r w:rsidRPr="009C0305">
        <w:rPr>
          <w:rFonts w:ascii="Times New Roman" w:hAnsi="Times New Roman"/>
        </w:rPr>
        <w:t>定详细见表</w:t>
      </w:r>
      <w:r w:rsidRPr="009C0305">
        <w:rPr>
          <w:rFonts w:ascii="Times New Roman" w:hAnsi="Times New Roman"/>
        </w:rPr>
        <w:t>B.4</w:t>
      </w:r>
      <w:r w:rsidRPr="009C0305">
        <w:rPr>
          <w:rFonts w:ascii="Times New Roman" w:hAnsi="Times New Roman"/>
        </w:rPr>
        <w:t>。</w:t>
      </w:r>
    </w:p>
    <w:p w14:paraId="625DC147" w14:textId="1C7F8B60" w:rsidR="00F266AE" w:rsidRDefault="00F266AE" w:rsidP="009C0305">
      <w:pPr>
        <w:pStyle w:val="aff0"/>
        <w:spacing w:before="156" w:after="156"/>
        <w:rPr>
          <w:rFonts w:hint="eastAsia"/>
        </w:rPr>
      </w:pPr>
      <w:r>
        <w:rPr>
          <w:rFonts w:hint="eastAsia"/>
        </w:rPr>
        <w:t>风险值（D）</w:t>
      </w:r>
      <w:bookmarkEnd w:id="80"/>
      <w:bookmarkEnd w:id="81"/>
      <w:bookmarkEnd w:id="82"/>
      <w:r>
        <w:rPr>
          <w:rFonts w:hint="eastAsia"/>
        </w:rPr>
        <w:t>取值及等级判定准则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177"/>
        <w:gridCol w:w="6742"/>
      </w:tblGrid>
      <w:tr w:rsidR="00F266AE" w:rsidRPr="009C0305" w14:paraId="22E511A7" w14:textId="77777777" w:rsidTr="00F410E8">
        <w:trPr>
          <w:trHeight w:hRule="exact" w:val="454"/>
          <w:tblHeader/>
          <w:jc w:val="center"/>
        </w:trPr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41CCB29C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黑体" w:eastAsia="黑体" w:hAnsi="黑体"/>
                <w:spacing w:val="20"/>
                <w:sz w:val="18"/>
                <w:szCs w:val="18"/>
              </w:rPr>
            </w:pPr>
            <w:r w:rsidRPr="009C0305">
              <w:rPr>
                <w:rFonts w:ascii="黑体" w:eastAsia="黑体" w:hAnsi="黑体"/>
                <w:spacing w:val="20"/>
                <w:sz w:val="18"/>
                <w:szCs w:val="18"/>
              </w:rPr>
              <w:t>风险值</w:t>
            </w:r>
          </w:p>
        </w:tc>
        <w:tc>
          <w:tcPr>
            <w:tcW w:w="1177" w:type="dxa"/>
            <w:vAlign w:val="center"/>
          </w:tcPr>
          <w:p w14:paraId="64ECE123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黑体" w:eastAsia="黑体" w:hAnsi="黑体"/>
                <w:spacing w:val="20"/>
                <w:sz w:val="18"/>
                <w:szCs w:val="18"/>
              </w:rPr>
            </w:pPr>
            <w:r w:rsidRPr="009C0305">
              <w:rPr>
                <w:rFonts w:ascii="黑体" w:eastAsia="黑体" w:hAnsi="黑体"/>
                <w:spacing w:val="20"/>
                <w:sz w:val="18"/>
                <w:szCs w:val="18"/>
              </w:rPr>
              <w:t>风险等级</w:t>
            </w:r>
          </w:p>
        </w:tc>
        <w:tc>
          <w:tcPr>
            <w:tcW w:w="6742" w:type="dxa"/>
            <w:tcBorders>
              <w:right w:val="single" w:sz="4" w:space="0" w:color="auto"/>
            </w:tcBorders>
            <w:vAlign w:val="center"/>
          </w:tcPr>
          <w:p w14:paraId="6E85ED14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黑体" w:eastAsia="黑体" w:hAnsi="黑体"/>
                <w:spacing w:val="20"/>
                <w:sz w:val="18"/>
                <w:szCs w:val="18"/>
              </w:rPr>
            </w:pPr>
            <w:r w:rsidRPr="009C0305">
              <w:rPr>
                <w:rFonts w:ascii="黑体" w:eastAsia="黑体" w:hAnsi="黑体"/>
                <w:spacing w:val="20"/>
                <w:sz w:val="18"/>
                <w:szCs w:val="18"/>
              </w:rPr>
              <w:t>应采取的行动/控制措施</w:t>
            </w:r>
          </w:p>
        </w:tc>
      </w:tr>
      <w:tr w:rsidR="00F266AE" w:rsidRPr="009C0305" w14:paraId="7A090216" w14:textId="77777777" w:rsidTr="00F410E8">
        <w:trPr>
          <w:trHeight w:hRule="exact" w:val="454"/>
          <w:jc w:val="center"/>
        </w:trPr>
        <w:tc>
          <w:tcPr>
            <w:tcW w:w="13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E2F109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pacing w:val="20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＞</w:t>
            </w:r>
            <w:r w:rsidRPr="009C0305">
              <w:rPr>
                <w:rFonts w:ascii="Times New Roman" w:hAnsi="Times New Roman"/>
                <w:spacing w:val="20"/>
                <w:sz w:val="18"/>
                <w:szCs w:val="18"/>
              </w:rPr>
              <w:t>320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4545B70B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重大风险</w:t>
            </w:r>
          </w:p>
        </w:tc>
        <w:tc>
          <w:tcPr>
            <w:tcW w:w="67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8BF37F" w14:textId="77777777" w:rsidR="00F266AE" w:rsidRPr="009C0305" w:rsidRDefault="00F266AE" w:rsidP="009C0305">
            <w:pPr>
              <w:adjustRightInd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在采取措施降低危害</w:t>
            </w:r>
            <w:proofErr w:type="gramStart"/>
            <w:r w:rsidRPr="009C0305">
              <w:rPr>
                <w:rFonts w:ascii="Times New Roman" w:hAnsi="Times New Roman"/>
                <w:sz w:val="18"/>
                <w:szCs w:val="18"/>
              </w:rPr>
              <w:t>前</w:t>
            </w:r>
            <w:r w:rsidRPr="009C0305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9C0305">
              <w:rPr>
                <w:rFonts w:ascii="Times New Roman" w:hAnsi="Times New Roman"/>
                <w:sz w:val="18"/>
                <w:szCs w:val="18"/>
              </w:rPr>
              <w:t>不能继续</w:t>
            </w:r>
            <w:proofErr w:type="gramStart"/>
            <w:r w:rsidRPr="009C0305">
              <w:rPr>
                <w:rFonts w:ascii="Times New Roman" w:hAnsi="Times New Roman"/>
                <w:sz w:val="18"/>
                <w:szCs w:val="18"/>
              </w:rPr>
              <w:t>作业</w:t>
            </w:r>
            <w:r w:rsidRPr="009C0305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9C0305">
              <w:rPr>
                <w:rFonts w:ascii="Times New Roman" w:hAnsi="Times New Roman"/>
                <w:sz w:val="18"/>
                <w:szCs w:val="18"/>
              </w:rPr>
              <w:t>对改进措施进行评估。</w:t>
            </w:r>
          </w:p>
        </w:tc>
      </w:tr>
      <w:tr w:rsidR="00F266AE" w:rsidRPr="009C0305" w14:paraId="7BBD222E" w14:textId="77777777" w:rsidTr="00F410E8">
        <w:trPr>
          <w:trHeight w:hRule="exact" w:val="454"/>
          <w:jc w:val="center"/>
        </w:trPr>
        <w:tc>
          <w:tcPr>
            <w:tcW w:w="13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A1F39D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pacing w:val="20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160</w:t>
            </w:r>
            <w:r w:rsidRPr="009C0305">
              <w:rPr>
                <w:rFonts w:ascii="Times New Roman" w:hAnsi="Times New Roman"/>
                <w:sz w:val="18"/>
                <w:szCs w:val="18"/>
              </w:rPr>
              <w:t>～</w:t>
            </w:r>
            <w:r w:rsidRPr="009C0305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4E0B9DFC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较大风险</w:t>
            </w:r>
          </w:p>
        </w:tc>
        <w:tc>
          <w:tcPr>
            <w:tcW w:w="67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B89F1F" w14:textId="77777777" w:rsidR="00F266AE" w:rsidRPr="009C0305" w:rsidRDefault="00F266AE" w:rsidP="009C0305">
            <w:pPr>
              <w:adjustRightInd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采取紧急措施降低风险，建立运行控制程序，定期检查、测量及评估。</w:t>
            </w:r>
          </w:p>
        </w:tc>
      </w:tr>
      <w:tr w:rsidR="00F266AE" w:rsidRPr="009C0305" w14:paraId="040958BC" w14:textId="77777777" w:rsidTr="00F410E8">
        <w:trPr>
          <w:trHeight w:hRule="exact" w:val="454"/>
          <w:jc w:val="center"/>
        </w:trPr>
        <w:tc>
          <w:tcPr>
            <w:tcW w:w="13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D52836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pacing w:val="20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70</w:t>
            </w:r>
            <w:r w:rsidRPr="009C0305">
              <w:rPr>
                <w:rFonts w:ascii="Times New Roman" w:hAnsi="Times New Roman"/>
                <w:sz w:val="18"/>
                <w:szCs w:val="18"/>
              </w:rPr>
              <w:t>～</w:t>
            </w:r>
            <w:r w:rsidRPr="009C0305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9746FDE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一般风险</w:t>
            </w:r>
          </w:p>
        </w:tc>
        <w:tc>
          <w:tcPr>
            <w:tcW w:w="67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F45FBB" w14:textId="77777777" w:rsidR="00F266AE" w:rsidRPr="009C0305" w:rsidRDefault="00F266AE" w:rsidP="009C0305">
            <w:pPr>
              <w:adjustRightInd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可考虑建立操作规程，加强培训、沟通和作业过程监督。</w:t>
            </w:r>
          </w:p>
        </w:tc>
      </w:tr>
      <w:tr w:rsidR="00F266AE" w:rsidRPr="009C0305" w14:paraId="064DC0C6" w14:textId="77777777" w:rsidTr="00F410E8">
        <w:trPr>
          <w:trHeight w:hRule="exact" w:val="454"/>
          <w:jc w:val="center"/>
        </w:trPr>
        <w:tc>
          <w:tcPr>
            <w:tcW w:w="13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9DE8EE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pacing w:val="20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9C0305">
              <w:rPr>
                <w:rFonts w:ascii="Times New Roman" w:hAnsi="Times New Roman"/>
                <w:sz w:val="18"/>
                <w:szCs w:val="18"/>
              </w:rPr>
              <w:t>～</w:t>
            </w:r>
            <w:r w:rsidRPr="009C030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45FDDAFC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低风险</w:t>
            </w:r>
          </w:p>
        </w:tc>
        <w:tc>
          <w:tcPr>
            <w:tcW w:w="67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C6DE5F" w14:textId="77777777" w:rsidR="00F266AE" w:rsidRPr="009C0305" w:rsidRDefault="00F266AE" w:rsidP="009C0305">
            <w:pPr>
              <w:adjustRightInd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可考虑建立操作规程、作业指导书，但需定期检查。</w:t>
            </w:r>
          </w:p>
        </w:tc>
      </w:tr>
      <w:tr w:rsidR="00F266AE" w:rsidRPr="009C0305" w14:paraId="3BE4ECF2" w14:textId="77777777" w:rsidTr="00F410E8">
        <w:trPr>
          <w:trHeight w:hRule="exact" w:val="454"/>
          <w:jc w:val="center"/>
        </w:trPr>
        <w:tc>
          <w:tcPr>
            <w:tcW w:w="13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932BC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pacing w:val="20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＜</w:t>
            </w:r>
            <w:r w:rsidRPr="009C030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604C4916" w14:textId="77777777" w:rsidR="00F266AE" w:rsidRPr="009C0305" w:rsidRDefault="00F266AE" w:rsidP="009C03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轻微风险</w:t>
            </w:r>
          </w:p>
        </w:tc>
        <w:tc>
          <w:tcPr>
            <w:tcW w:w="674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9CB552" w14:textId="77777777" w:rsidR="00F266AE" w:rsidRPr="009C0305" w:rsidRDefault="00F266AE" w:rsidP="009C0305">
            <w:pPr>
              <w:adjustRightInd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0305">
              <w:rPr>
                <w:rFonts w:ascii="Times New Roman" w:hAnsi="Times New Roman"/>
                <w:sz w:val="18"/>
                <w:szCs w:val="18"/>
              </w:rPr>
              <w:t>无需采用控制措施。</w:t>
            </w:r>
          </w:p>
        </w:tc>
      </w:tr>
    </w:tbl>
    <w:p w14:paraId="5862D7CE" w14:textId="77777777" w:rsidR="00F266AE" w:rsidRDefault="00F266AE" w:rsidP="00F266AE">
      <w:pPr>
        <w:spacing w:before="93" w:line="340" w:lineRule="exact"/>
        <w:jc w:val="left"/>
        <w:rPr>
          <w:rFonts w:ascii="宋体" w:hAnsi="宋体" w:cs="宋体" w:hint="eastAsia"/>
          <w:bCs/>
        </w:rPr>
      </w:pPr>
    </w:p>
    <w:p w14:paraId="41BC7152" w14:textId="77777777" w:rsidR="00F266AE" w:rsidRPr="00F266AE" w:rsidRDefault="00F266AE" w:rsidP="00F266AE">
      <w:pPr>
        <w:pStyle w:val="afffff7"/>
        <w:ind w:firstLine="420"/>
        <w:rPr>
          <w:rFonts w:hint="eastAsia"/>
        </w:rPr>
      </w:pPr>
    </w:p>
    <w:p w14:paraId="234837EB" w14:textId="77777777" w:rsidR="00F266AE" w:rsidRDefault="00F266AE" w:rsidP="00F266AE">
      <w:pPr>
        <w:pStyle w:val="afffff7"/>
        <w:ind w:firstLine="420"/>
        <w:rPr>
          <w:rFonts w:hint="eastAsia"/>
        </w:rPr>
      </w:pPr>
    </w:p>
    <w:p w14:paraId="35F94B33" w14:textId="77777777" w:rsidR="00F266AE" w:rsidRPr="00F266AE" w:rsidRDefault="00F266AE" w:rsidP="00F266AE">
      <w:pPr>
        <w:pStyle w:val="afffff7"/>
        <w:ind w:firstLine="420"/>
        <w:rPr>
          <w:rFonts w:hint="eastAsia"/>
        </w:rPr>
      </w:pPr>
    </w:p>
    <w:p w14:paraId="5C89A2AD" w14:textId="77777777" w:rsidR="00F266AE" w:rsidRPr="00F266AE" w:rsidRDefault="00F266AE" w:rsidP="00F266AE">
      <w:pPr>
        <w:pStyle w:val="afffff7"/>
        <w:ind w:firstLine="420"/>
        <w:rPr>
          <w:rFonts w:hint="eastAsia"/>
        </w:rPr>
      </w:pPr>
    </w:p>
    <w:p w14:paraId="500B76BB" w14:textId="77777777" w:rsidR="002653DE" w:rsidRDefault="002653DE" w:rsidP="00F266AE">
      <w:pPr>
        <w:pStyle w:val="afffff7"/>
        <w:ind w:firstLine="420"/>
        <w:sectPr w:rsidR="002653DE" w:rsidSect="00D00406">
          <w:headerReference w:type="even" r:id="rId34"/>
          <w:headerReference w:type="default" r:id="rId35"/>
          <w:footerReference w:type="even" r:id="rId36"/>
          <w:footerReference w:type="default" r:id="rId37"/>
          <w:pgSz w:w="11906" w:h="16838"/>
          <w:pgMar w:top="1928" w:right="1134" w:bottom="1134" w:left="1134" w:header="1418" w:footer="1134" w:gutter="284"/>
          <w:cols w:space="425"/>
          <w:formProt w:val="0"/>
          <w:docGrid w:type="lines" w:linePitch="312"/>
        </w:sectPr>
      </w:pPr>
    </w:p>
    <w:p w14:paraId="6C8D8578" w14:textId="77777777" w:rsidR="00F266AE" w:rsidRDefault="00F266AE" w:rsidP="002653DE">
      <w:pPr>
        <w:pStyle w:val="af9"/>
        <w:rPr>
          <w:rFonts w:hint="eastAsia"/>
          <w:vanish w:val="0"/>
        </w:rPr>
      </w:pPr>
    </w:p>
    <w:p w14:paraId="326E9A7A" w14:textId="77777777" w:rsidR="002653DE" w:rsidRDefault="002653DE" w:rsidP="002653DE">
      <w:pPr>
        <w:pStyle w:val="aff"/>
        <w:rPr>
          <w:rFonts w:hint="eastAsia"/>
          <w:vanish w:val="0"/>
        </w:rPr>
      </w:pPr>
    </w:p>
    <w:p w14:paraId="1DAA245C" w14:textId="58A9FC30" w:rsidR="002653DE" w:rsidRDefault="002653DE" w:rsidP="002653DE">
      <w:pPr>
        <w:pStyle w:val="aff4"/>
        <w:spacing w:after="156"/>
        <w:rPr>
          <w:rFonts w:hint="eastAsia"/>
        </w:rPr>
      </w:pPr>
      <w:r>
        <w:br/>
      </w:r>
      <w:bookmarkStart w:id="83" w:name="_Toc207880766"/>
      <w:r>
        <w:rPr>
          <w:rFonts w:hint="eastAsia"/>
        </w:rPr>
        <w:t>（资料性）</w:t>
      </w:r>
      <w:r>
        <w:br/>
      </w:r>
      <w:r>
        <w:rPr>
          <w:rFonts w:hint="eastAsia"/>
        </w:rPr>
        <w:t>风险矩阵法评价准则</w:t>
      </w:r>
      <w:bookmarkEnd w:id="83"/>
    </w:p>
    <w:p w14:paraId="3850638F" w14:textId="54B7B1F4" w:rsidR="002653DE" w:rsidRDefault="002653DE" w:rsidP="002653DE">
      <w:pPr>
        <w:pStyle w:val="aff5"/>
        <w:spacing w:before="156" w:after="156"/>
        <w:rPr>
          <w:rFonts w:hint="eastAsia"/>
        </w:rPr>
      </w:pPr>
      <w:r>
        <w:rPr>
          <w:rFonts w:hint="eastAsia"/>
        </w:rPr>
        <w:t>事故发生的可能性（L）取值准则</w:t>
      </w:r>
    </w:p>
    <w:p w14:paraId="7F083B6A" w14:textId="77777777" w:rsidR="002653DE" w:rsidRDefault="002653DE" w:rsidP="002653DE">
      <w:pPr>
        <w:adjustRightInd/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事故发生</w:t>
      </w:r>
      <w:r w:rsidRPr="002653DE">
        <w:rPr>
          <w:rFonts w:ascii="Times New Roman" w:hAnsi="Times New Roman"/>
        </w:rPr>
        <w:t>的可能性（</w:t>
      </w:r>
      <w:r w:rsidRPr="002653DE">
        <w:rPr>
          <w:rFonts w:ascii="Times New Roman" w:hAnsi="Times New Roman"/>
        </w:rPr>
        <w:t>L</w:t>
      </w:r>
      <w:r w:rsidRPr="002653DE">
        <w:rPr>
          <w:rFonts w:ascii="Times New Roman" w:hAnsi="Times New Roman"/>
        </w:rPr>
        <w:t>）的取值准则具体见表</w:t>
      </w:r>
      <w:r w:rsidRPr="002653DE">
        <w:rPr>
          <w:rFonts w:ascii="Times New Roman" w:hAnsi="Times New Roman"/>
        </w:rPr>
        <w:t>C.1</w:t>
      </w:r>
      <w:r w:rsidRPr="002653DE">
        <w:rPr>
          <w:rFonts w:ascii="Times New Roman" w:hAnsi="Times New Roman"/>
        </w:rPr>
        <w:t>。</w:t>
      </w:r>
    </w:p>
    <w:p w14:paraId="79DC42DF" w14:textId="185E7ECC" w:rsidR="002653DE" w:rsidRDefault="002653DE" w:rsidP="002653DE">
      <w:pPr>
        <w:pStyle w:val="aff0"/>
        <w:spacing w:before="156" w:after="156"/>
        <w:rPr>
          <w:rFonts w:hint="eastAsia"/>
        </w:rPr>
      </w:pPr>
      <w:bookmarkStart w:id="84" w:name="_Toc479175363"/>
      <w:bookmarkStart w:id="85" w:name="_Toc479257321"/>
      <w:bookmarkStart w:id="86" w:name="_Toc479171776"/>
      <w:r>
        <w:rPr>
          <w:rFonts w:hint="eastAsia"/>
        </w:rPr>
        <w:t>事故发生的可能性（L）取值准则</w:t>
      </w:r>
      <w:bookmarkEnd w:id="84"/>
      <w:bookmarkEnd w:id="85"/>
      <w:bookmarkEnd w:id="8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8229"/>
      </w:tblGrid>
      <w:tr w:rsidR="002653DE" w:rsidRPr="002653DE" w14:paraId="199645C5" w14:textId="77777777" w:rsidTr="005C5A80">
        <w:trPr>
          <w:trHeight w:hRule="exact" w:val="510"/>
          <w:jc w:val="center"/>
        </w:trPr>
        <w:tc>
          <w:tcPr>
            <w:tcW w:w="1088" w:type="dxa"/>
            <w:vAlign w:val="center"/>
          </w:tcPr>
          <w:p w14:paraId="11FE5E79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2653DE">
              <w:rPr>
                <w:rFonts w:ascii="黑体" w:eastAsia="黑体" w:hAnsi="黑体"/>
                <w:bCs/>
                <w:sz w:val="18"/>
                <w:szCs w:val="18"/>
              </w:rPr>
              <w:t>等级</w:t>
            </w:r>
          </w:p>
        </w:tc>
        <w:tc>
          <w:tcPr>
            <w:tcW w:w="8229" w:type="dxa"/>
            <w:vAlign w:val="center"/>
          </w:tcPr>
          <w:p w14:paraId="667B0C5D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ind w:firstLine="361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proofErr w:type="gramStart"/>
            <w:r w:rsidRPr="002653DE">
              <w:rPr>
                <w:rFonts w:ascii="黑体" w:eastAsia="黑体" w:hAnsi="黑体"/>
                <w:bCs/>
                <w:sz w:val="18"/>
                <w:szCs w:val="18"/>
              </w:rPr>
              <w:t>标    准</w:t>
            </w:r>
            <w:proofErr w:type="gramEnd"/>
          </w:p>
        </w:tc>
      </w:tr>
      <w:tr w:rsidR="002653DE" w:rsidRPr="002653DE" w14:paraId="2D435EB7" w14:textId="77777777" w:rsidTr="005C5A80">
        <w:trPr>
          <w:trHeight w:hRule="exact" w:val="510"/>
          <w:jc w:val="center"/>
        </w:trPr>
        <w:tc>
          <w:tcPr>
            <w:tcW w:w="1088" w:type="dxa"/>
            <w:vAlign w:val="center"/>
          </w:tcPr>
          <w:p w14:paraId="34FF6551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29" w:type="dxa"/>
            <w:vAlign w:val="center"/>
          </w:tcPr>
          <w:p w14:paraId="44DEAA98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在现场没有采取防范、监测、保护、控制措施，或危害的发生不能被发现（没有监测系统），或在正常情况下经常发生此类事故或事件。</w:t>
            </w:r>
          </w:p>
        </w:tc>
      </w:tr>
      <w:tr w:rsidR="002653DE" w:rsidRPr="002653DE" w14:paraId="77F4B721" w14:textId="77777777" w:rsidTr="005C5A80">
        <w:trPr>
          <w:trHeight w:hRule="exact" w:val="510"/>
          <w:jc w:val="center"/>
        </w:trPr>
        <w:tc>
          <w:tcPr>
            <w:tcW w:w="1088" w:type="dxa"/>
            <w:vAlign w:val="center"/>
          </w:tcPr>
          <w:p w14:paraId="0C954FA0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29" w:type="dxa"/>
            <w:vAlign w:val="center"/>
          </w:tcPr>
          <w:p w14:paraId="571C68FE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危害的发生不容易被发现，现场没有检测系统，也未发生过任何监测，或在现场有控制措施，但未有效执行或控制措施不当，或危害常发生或预期情况下发生。</w:t>
            </w:r>
          </w:p>
        </w:tc>
      </w:tr>
      <w:tr w:rsidR="002653DE" w:rsidRPr="002653DE" w14:paraId="5FFE3BA0" w14:textId="77777777" w:rsidTr="005C5A80">
        <w:trPr>
          <w:trHeight w:hRule="exact" w:val="510"/>
          <w:jc w:val="center"/>
        </w:trPr>
        <w:tc>
          <w:tcPr>
            <w:tcW w:w="1088" w:type="dxa"/>
            <w:vAlign w:val="center"/>
          </w:tcPr>
          <w:p w14:paraId="02226B8C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29" w:type="dxa"/>
            <w:vAlign w:val="center"/>
          </w:tcPr>
          <w:p w14:paraId="7D848564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没有保护措施（如没有保护装置、没有个人防护用品等），或未严格按操作程序执行，或危害的发生容易被发现（现场有监测系统），或曾经作过监测，或过去曾经发生类似事故或</w:t>
            </w:r>
            <w:proofErr w:type="gramStart"/>
            <w:r w:rsidRPr="002653DE">
              <w:rPr>
                <w:rFonts w:ascii="Times New Roman" w:hAnsi="Times New Roman"/>
                <w:sz w:val="18"/>
                <w:szCs w:val="18"/>
              </w:rPr>
              <w:t>事件</w:t>
            </w:r>
            <w:r w:rsidRPr="002653DE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2653DE">
              <w:rPr>
                <w:rFonts w:ascii="Times New Roman" w:hAnsi="Times New Roman"/>
                <w:sz w:val="18"/>
                <w:szCs w:val="18"/>
              </w:rPr>
              <w:t>或在异常情况下发生过类似事故或事件。</w:t>
            </w:r>
          </w:p>
        </w:tc>
      </w:tr>
      <w:tr w:rsidR="002653DE" w:rsidRPr="002653DE" w14:paraId="4247851F" w14:textId="77777777" w:rsidTr="005C5A80">
        <w:trPr>
          <w:trHeight w:hRule="exact" w:val="510"/>
          <w:jc w:val="center"/>
        </w:trPr>
        <w:tc>
          <w:tcPr>
            <w:tcW w:w="1088" w:type="dxa"/>
            <w:vAlign w:val="center"/>
          </w:tcPr>
          <w:p w14:paraId="37424211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29" w:type="dxa"/>
            <w:vAlign w:val="center"/>
          </w:tcPr>
          <w:p w14:paraId="03ED50F5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危害一旦发生能及时发现，并定期进行监测，或现场有防范控制措施，并能有效执行，或过去偶尔发生事故或事件。</w:t>
            </w:r>
          </w:p>
        </w:tc>
      </w:tr>
      <w:tr w:rsidR="002653DE" w:rsidRPr="002653DE" w14:paraId="04F834CD" w14:textId="77777777" w:rsidTr="005C5A80">
        <w:trPr>
          <w:trHeight w:hRule="exact" w:val="510"/>
          <w:jc w:val="center"/>
        </w:trPr>
        <w:tc>
          <w:tcPr>
            <w:tcW w:w="1088" w:type="dxa"/>
            <w:vAlign w:val="center"/>
          </w:tcPr>
          <w:p w14:paraId="4CCABFFE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29" w:type="dxa"/>
            <w:vAlign w:val="center"/>
          </w:tcPr>
          <w:p w14:paraId="193442ED" w14:textId="77777777" w:rsidR="002653DE" w:rsidRPr="002653DE" w:rsidRDefault="002653DE" w:rsidP="005C5A80">
            <w:pPr>
              <w:autoSpaceDE w:val="0"/>
              <w:autoSpaceDN w:val="0"/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653DE">
              <w:rPr>
                <w:rFonts w:ascii="Times New Roman" w:hAnsi="Times New Roman"/>
                <w:sz w:val="18"/>
                <w:szCs w:val="18"/>
              </w:rPr>
              <w:t>有充分、有效的防范、控制、监测、保护措施，或员工安全卫生意识相当高，严格执行操作规程。极不可能发生事故或事件。</w:t>
            </w:r>
          </w:p>
        </w:tc>
      </w:tr>
    </w:tbl>
    <w:p w14:paraId="410E4083" w14:textId="73425995" w:rsidR="002653DE" w:rsidRDefault="002653DE" w:rsidP="00C619D4">
      <w:pPr>
        <w:pStyle w:val="aff5"/>
        <w:spacing w:before="156" w:after="156"/>
        <w:rPr>
          <w:rFonts w:hint="eastAsia"/>
        </w:rPr>
      </w:pPr>
      <w:bookmarkStart w:id="87" w:name="_Toc479257322"/>
      <w:bookmarkStart w:id="88" w:name="_Toc479171777"/>
      <w:bookmarkStart w:id="89" w:name="_Toc479175364"/>
      <w:r>
        <w:rPr>
          <w:rFonts w:hint="eastAsia"/>
        </w:rPr>
        <w:t>事件后果严重性（S）取值准则</w:t>
      </w:r>
    </w:p>
    <w:p w14:paraId="5ACDC997" w14:textId="77777777" w:rsidR="002653DE" w:rsidRPr="00C619D4" w:rsidRDefault="002653DE" w:rsidP="002653DE">
      <w:pPr>
        <w:adjustRightInd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</w:rPr>
        <w:t>事件后</w:t>
      </w:r>
      <w:r w:rsidRPr="00C619D4">
        <w:rPr>
          <w:rFonts w:ascii="Times New Roman" w:hAnsi="Times New Roman"/>
        </w:rPr>
        <w:t>果严重性（</w:t>
      </w:r>
      <w:r w:rsidRPr="00C619D4">
        <w:rPr>
          <w:rFonts w:ascii="Times New Roman" w:hAnsi="Times New Roman"/>
        </w:rPr>
        <w:t>S</w:t>
      </w:r>
      <w:r w:rsidRPr="00C619D4">
        <w:rPr>
          <w:rFonts w:ascii="Times New Roman" w:hAnsi="Times New Roman"/>
        </w:rPr>
        <w:t>）的取值准则具体见表</w:t>
      </w:r>
      <w:r w:rsidRPr="00C619D4">
        <w:rPr>
          <w:rFonts w:ascii="Times New Roman" w:hAnsi="Times New Roman"/>
        </w:rPr>
        <w:t>C.2</w:t>
      </w:r>
      <w:r w:rsidRPr="00C619D4">
        <w:rPr>
          <w:rFonts w:ascii="Times New Roman" w:hAnsi="Times New Roman"/>
        </w:rPr>
        <w:t>。</w:t>
      </w:r>
    </w:p>
    <w:p w14:paraId="23BB8431" w14:textId="4AF49490" w:rsidR="002653DE" w:rsidRDefault="002653DE" w:rsidP="00C619D4">
      <w:pPr>
        <w:pStyle w:val="aff0"/>
        <w:spacing w:before="156" w:after="156"/>
        <w:rPr>
          <w:rFonts w:hint="eastAsia"/>
        </w:rPr>
      </w:pPr>
      <w:r>
        <w:rPr>
          <w:rFonts w:hint="eastAsia"/>
        </w:rPr>
        <w:t>事件后果严重性（S）取值准则</w:t>
      </w:r>
      <w:bookmarkEnd w:id="87"/>
      <w:bookmarkEnd w:id="88"/>
      <w:bookmarkEnd w:id="89"/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965"/>
        <w:gridCol w:w="1723"/>
        <w:gridCol w:w="1354"/>
        <w:gridCol w:w="1729"/>
        <w:gridCol w:w="1473"/>
      </w:tblGrid>
      <w:tr w:rsidR="002653DE" w:rsidRPr="00C619D4" w14:paraId="1E06F3C4" w14:textId="77777777" w:rsidTr="005C5A80">
        <w:trPr>
          <w:trHeight w:hRule="exact" w:val="510"/>
          <w:jc w:val="center"/>
        </w:trPr>
        <w:tc>
          <w:tcPr>
            <w:tcW w:w="1077" w:type="dxa"/>
            <w:vAlign w:val="center"/>
          </w:tcPr>
          <w:p w14:paraId="6BCB1993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C619D4">
              <w:rPr>
                <w:rFonts w:ascii="黑体" w:eastAsia="黑体" w:hAnsi="黑体"/>
                <w:bCs/>
                <w:sz w:val="18"/>
                <w:szCs w:val="18"/>
              </w:rPr>
              <w:t>等级</w:t>
            </w:r>
          </w:p>
        </w:tc>
        <w:tc>
          <w:tcPr>
            <w:tcW w:w="1965" w:type="dxa"/>
            <w:vAlign w:val="center"/>
          </w:tcPr>
          <w:p w14:paraId="69A10B12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C619D4">
              <w:rPr>
                <w:rFonts w:ascii="黑体" w:eastAsia="黑体" w:hAnsi="黑体"/>
                <w:bCs/>
                <w:sz w:val="18"/>
                <w:szCs w:val="18"/>
              </w:rPr>
              <w:t>法律、法规及其他要求</w:t>
            </w:r>
          </w:p>
        </w:tc>
        <w:tc>
          <w:tcPr>
            <w:tcW w:w="1723" w:type="dxa"/>
            <w:vAlign w:val="center"/>
          </w:tcPr>
          <w:p w14:paraId="62329651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C619D4">
              <w:rPr>
                <w:rFonts w:ascii="黑体" w:eastAsia="黑体" w:hAnsi="黑体"/>
                <w:bCs/>
                <w:sz w:val="18"/>
                <w:szCs w:val="18"/>
              </w:rPr>
              <w:t>人员伤害</w:t>
            </w:r>
          </w:p>
        </w:tc>
        <w:tc>
          <w:tcPr>
            <w:tcW w:w="1354" w:type="dxa"/>
            <w:vAlign w:val="center"/>
          </w:tcPr>
          <w:p w14:paraId="49BD8707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C619D4">
              <w:rPr>
                <w:rFonts w:ascii="黑体" w:eastAsia="黑体" w:hAnsi="黑体"/>
                <w:bCs/>
                <w:sz w:val="18"/>
                <w:szCs w:val="18"/>
              </w:rPr>
              <w:t>直接经济损失</w:t>
            </w:r>
          </w:p>
        </w:tc>
        <w:tc>
          <w:tcPr>
            <w:tcW w:w="1729" w:type="dxa"/>
            <w:vAlign w:val="center"/>
          </w:tcPr>
          <w:p w14:paraId="06F1FD13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C619D4">
              <w:rPr>
                <w:rFonts w:ascii="黑体" w:eastAsia="黑体" w:hAnsi="黑体"/>
                <w:bCs/>
                <w:sz w:val="18"/>
                <w:szCs w:val="18"/>
              </w:rPr>
              <w:t>停工</w:t>
            </w:r>
          </w:p>
        </w:tc>
        <w:tc>
          <w:tcPr>
            <w:tcW w:w="1473" w:type="dxa"/>
            <w:vAlign w:val="center"/>
          </w:tcPr>
          <w:p w14:paraId="0C867A1A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C619D4">
              <w:rPr>
                <w:rFonts w:ascii="黑体" w:eastAsia="黑体" w:hAnsi="黑体"/>
                <w:bCs/>
                <w:sz w:val="18"/>
                <w:szCs w:val="18"/>
              </w:rPr>
              <w:t>企业形象</w:t>
            </w:r>
          </w:p>
        </w:tc>
      </w:tr>
      <w:tr w:rsidR="002653DE" w:rsidRPr="00C619D4" w14:paraId="4E39FBB1" w14:textId="77777777" w:rsidTr="005C5A80">
        <w:trPr>
          <w:trHeight w:hRule="exact" w:val="510"/>
          <w:jc w:val="center"/>
        </w:trPr>
        <w:tc>
          <w:tcPr>
            <w:tcW w:w="1077" w:type="dxa"/>
            <w:vAlign w:val="center"/>
          </w:tcPr>
          <w:p w14:paraId="0BC26226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65" w:type="dxa"/>
            <w:vAlign w:val="center"/>
          </w:tcPr>
          <w:p w14:paraId="3B3C0B45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违反法律、法规和标准</w:t>
            </w:r>
          </w:p>
        </w:tc>
        <w:tc>
          <w:tcPr>
            <w:tcW w:w="1723" w:type="dxa"/>
            <w:vAlign w:val="center"/>
          </w:tcPr>
          <w:p w14:paraId="09892A24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死亡</w:t>
            </w:r>
          </w:p>
        </w:tc>
        <w:tc>
          <w:tcPr>
            <w:tcW w:w="1354" w:type="dxa"/>
            <w:vAlign w:val="center"/>
          </w:tcPr>
          <w:p w14:paraId="6E2252E9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100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万元以上</w:t>
            </w:r>
          </w:p>
        </w:tc>
        <w:tc>
          <w:tcPr>
            <w:tcW w:w="1729" w:type="dxa"/>
            <w:vAlign w:val="center"/>
          </w:tcPr>
          <w:p w14:paraId="35D39873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部分装置（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&gt;</w:t>
            </w:r>
            <w:proofErr w:type="gramStart"/>
            <w:r w:rsidRPr="00C619D4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套</w:t>
            </w:r>
            <w:proofErr w:type="gramEnd"/>
            <w:r w:rsidRPr="00C619D4">
              <w:rPr>
                <w:rFonts w:ascii="Times New Roman" w:hAnsi="Times New Roman"/>
                <w:sz w:val="18"/>
                <w:szCs w:val="18"/>
              </w:rPr>
              <w:t>）或设备</w:t>
            </w:r>
          </w:p>
        </w:tc>
        <w:tc>
          <w:tcPr>
            <w:tcW w:w="1473" w:type="dxa"/>
            <w:vAlign w:val="center"/>
          </w:tcPr>
          <w:p w14:paraId="118C4B86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重大国际影响</w:t>
            </w:r>
          </w:p>
        </w:tc>
      </w:tr>
      <w:tr w:rsidR="002653DE" w:rsidRPr="00C619D4" w14:paraId="4EB0F1AC" w14:textId="77777777" w:rsidTr="005C5A80">
        <w:trPr>
          <w:trHeight w:hRule="exact" w:val="510"/>
          <w:jc w:val="center"/>
        </w:trPr>
        <w:tc>
          <w:tcPr>
            <w:tcW w:w="1077" w:type="dxa"/>
            <w:vAlign w:val="center"/>
          </w:tcPr>
          <w:p w14:paraId="21798EFE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65" w:type="dxa"/>
            <w:vAlign w:val="center"/>
          </w:tcPr>
          <w:p w14:paraId="4F6F6A02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潜在违反法规和标准</w:t>
            </w:r>
          </w:p>
        </w:tc>
        <w:tc>
          <w:tcPr>
            <w:tcW w:w="1723" w:type="dxa"/>
            <w:vAlign w:val="center"/>
          </w:tcPr>
          <w:p w14:paraId="0042B05D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丧失劳动能力</w:t>
            </w:r>
          </w:p>
        </w:tc>
        <w:tc>
          <w:tcPr>
            <w:tcW w:w="1354" w:type="dxa"/>
            <w:vAlign w:val="center"/>
          </w:tcPr>
          <w:p w14:paraId="197486E7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50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万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-100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万元</w:t>
            </w:r>
          </w:p>
        </w:tc>
        <w:tc>
          <w:tcPr>
            <w:tcW w:w="1729" w:type="dxa"/>
            <w:vAlign w:val="center"/>
          </w:tcPr>
          <w:p w14:paraId="2667F85B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2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套装置停工、或设备停工</w:t>
            </w:r>
          </w:p>
        </w:tc>
        <w:tc>
          <w:tcPr>
            <w:tcW w:w="1473" w:type="dxa"/>
            <w:vAlign w:val="center"/>
          </w:tcPr>
          <w:p w14:paraId="7DAF71E2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行业内、省内影响</w:t>
            </w:r>
          </w:p>
        </w:tc>
      </w:tr>
      <w:tr w:rsidR="002653DE" w:rsidRPr="00C619D4" w14:paraId="08D2F636" w14:textId="77777777" w:rsidTr="005C5A80">
        <w:trPr>
          <w:trHeight w:hRule="exact" w:val="510"/>
          <w:jc w:val="center"/>
        </w:trPr>
        <w:tc>
          <w:tcPr>
            <w:tcW w:w="1077" w:type="dxa"/>
            <w:vAlign w:val="center"/>
          </w:tcPr>
          <w:p w14:paraId="75343603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65" w:type="dxa"/>
            <w:vAlign w:val="center"/>
          </w:tcPr>
          <w:p w14:paraId="6F090BD2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不符合上级公司或行业的安全方针、制度、规定等</w:t>
            </w:r>
          </w:p>
        </w:tc>
        <w:tc>
          <w:tcPr>
            <w:tcW w:w="1723" w:type="dxa"/>
            <w:vAlign w:val="center"/>
          </w:tcPr>
          <w:p w14:paraId="49176582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截肢、骨折、听力丧失、慢性病</w:t>
            </w:r>
          </w:p>
        </w:tc>
        <w:tc>
          <w:tcPr>
            <w:tcW w:w="1354" w:type="dxa"/>
            <w:vAlign w:val="center"/>
          </w:tcPr>
          <w:p w14:paraId="219E0D90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10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万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-50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万元</w:t>
            </w:r>
          </w:p>
        </w:tc>
        <w:tc>
          <w:tcPr>
            <w:tcW w:w="1729" w:type="dxa"/>
            <w:vAlign w:val="center"/>
          </w:tcPr>
          <w:p w14:paraId="477AFEEA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19D4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套装</w:t>
            </w:r>
            <w:proofErr w:type="gramEnd"/>
            <w:r w:rsidRPr="00C619D4">
              <w:rPr>
                <w:rFonts w:ascii="Times New Roman" w:hAnsi="Times New Roman"/>
                <w:sz w:val="18"/>
                <w:szCs w:val="18"/>
              </w:rPr>
              <w:t>置停工或设备</w:t>
            </w:r>
          </w:p>
        </w:tc>
        <w:tc>
          <w:tcPr>
            <w:tcW w:w="1473" w:type="dxa"/>
            <w:vAlign w:val="center"/>
          </w:tcPr>
          <w:p w14:paraId="54923A49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地区影响</w:t>
            </w:r>
          </w:p>
        </w:tc>
      </w:tr>
      <w:tr w:rsidR="002653DE" w:rsidRPr="00C619D4" w14:paraId="375F8F4B" w14:textId="77777777" w:rsidTr="005C5A80">
        <w:trPr>
          <w:trHeight w:hRule="exact" w:val="510"/>
          <w:jc w:val="center"/>
        </w:trPr>
        <w:tc>
          <w:tcPr>
            <w:tcW w:w="1077" w:type="dxa"/>
            <w:vAlign w:val="center"/>
          </w:tcPr>
          <w:p w14:paraId="203C3A7B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5" w:type="dxa"/>
            <w:vAlign w:val="center"/>
          </w:tcPr>
          <w:p w14:paraId="419C3163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不符合企业的安全操作程序、规定</w:t>
            </w:r>
          </w:p>
        </w:tc>
        <w:tc>
          <w:tcPr>
            <w:tcW w:w="1723" w:type="dxa"/>
            <w:vAlign w:val="center"/>
          </w:tcPr>
          <w:p w14:paraId="201F7F5B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轻微受伤、间歇不舒服</w:t>
            </w:r>
          </w:p>
        </w:tc>
        <w:tc>
          <w:tcPr>
            <w:tcW w:w="1354" w:type="dxa"/>
            <w:vAlign w:val="center"/>
          </w:tcPr>
          <w:p w14:paraId="7365781C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10</w:t>
            </w:r>
            <w:r w:rsidRPr="00C619D4">
              <w:rPr>
                <w:rFonts w:ascii="Times New Roman" w:hAnsi="Times New Roman"/>
                <w:sz w:val="18"/>
                <w:szCs w:val="18"/>
              </w:rPr>
              <w:t>万元以下</w:t>
            </w:r>
          </w:p>
        </w:tc>
        <w:tc>
          <w:tcPr>
            <w:tcW w:w="1729" w:type="dxa"/>
            <w:vAlign w:val="center"/>
          </w:tcPr>
          <w:p w14:paraId="16BDB0E7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受影响不大，几乎不停工</w:t>
            </w:r>
          </w:p>
        </w:tc>
        <w:tc>
          <w:tcPr>
            <w:tcW w:w="1473" w:type="dxa"/>
            <w:vAlign w:val="center"/>
          </w:tcPr>
          <w:p w14:paraId="06384299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公司及周边范围</w:t>
            </w:r>
          </w:p>
        </w:tc>
      </w:tr>
      <w:tr w:rsidR="002653DE" w:rsidRPr="00C619D4" w14:paraId="4B8479B5" w14:textId="77777777" w:rsidTr="005C5A80">
        <w:trPr>
          <w:trHeight w:hRule="exact" w:val="510"/>
          <w:jc w:val="center"/>
        </w:trPr>
        <w:tc>
          <w:tcPr>
            <w:tcW w:w="1077" w:type="dxa"/>
            <w:vAlign w:val="center"/>
          </w:tcPr>
          <w:p w14:paraId="6809146C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5" w:type="dxa"/>
            <w:vAlign w:val="center"/>
          </w:tcPr>
          <w:p w14:paraId="3F616DD1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完全符合</w:t>
            </w:r>
          </w:p>
        </w:tc>
        <w:tc>
          <w:tcPr>
            <w:tcW w:w="1723" w:type="dxa"/>
            <w:vAlign w:val="center"/>
          </w:tcPr>
          <w:p w14:paraId="17BECB10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无伤亡</w:t>
            </w:r>
          </w:p>
        </w:tc>
        <w:tc>
          <w:tcPr>
            <w:tcW w:w="1354" w:type="dxa"/>
            <w:vAlign w:val="center"/>
          </w:tcPr>
          <w:p w14:paraId="0D80DA04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无损失</w:t>
            </w:r>
          </w:p>
        </w:tc>
        <w:tc>
          <w:tcPr>
            <w:tcW w:w="1729" w:type="dxa"/>
            <w:vAlign w:val="center"/>
          </w:tcPr>
          <w:p w14:paraId="23387D95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没有停工</w:t>
            </w:r>
          </w:p>
        </w:tc>
        <w:tc>
          <w:tcPr>
            <w:tcW w:w="1473" w:type="dxa"/>
            <w:vAlign w:val="center"/>
          </w:tcPr>
          <w:p w14:paraId="49368476" w14:textId="77777777" w:rsidR="002653DE" w:rsidRPr="00C619D4" w:rsidRDefault="002653DE" w:rsidP="005C5A80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619D4">
              <w:rPr>
                <w:rFonts w:ascii="Times New Roman" w:hAnsi="Times New Roman"/>
                <w:sz w:val="18"/>
                <w:szCs w:val="18"/>
              </w:rPr>
              <w:t>形象没有受损</w:t>
            </w:r>
          </w:p>
        </w:tc>
      </w:tr>
    </w:tbl>
    <w:p w14:paraId="343E029A" w14:textId="65845DB7" w:rsidR="002653DE" w:rsidRDefault="002653DE" w:rsidP="00D00406">
      <w:pPr>
        <w:pStyle w:val="aff5"/>
        <w:spacing w:before="156" w:after="156"/>
        <w:rPr>
          <w:rFonts w:hint="eastAsia"/>
        </w:rPr>
      </w:pPr>
      <w:bookmarkStart w:id="90" w:name="_Toc479257323"/>
      <w:bookmarkStart w:id="91" w:name="_Toc479171778"/>
      <w:bookmarkStart w:id="92" w:name="_Toc479175365"/>
      <w:r>
        <w:rPr>
          <w:rFonts w:hint="eastAsia"/>
        </w:rPr>
        <w:t>风险值（R）及等级判定准则</w:t>
      </w:r>
    </w:p>
    <w:p w14:paraId="49F68C5C" w14:textId="77777777" w:rsidR="002653DE" w:rsidRDefault="002653DE" w:rsidP="002653DE">
      <w:pPr>
        <w:adjustRightInd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</w:rPr>
        <w:t>风险值取值准则及对应风险等级判定详</w:t>
      </w:r>
      <w:r w:rsidRPr="00D00406">
        <w:rPr>
          <w:rFonts w:ascii="Times New Roman" w:hAnsi="Times New Roman"/>
        </w:rPr>
        <w:t>细见表</w:t>
      </w:r>
      <w:r w:rsidRPr="00D00406">
        <w:rPr>
          <w:rFonts w:ascii="Times New Roman" w:hAnsi="Times New Roman"/>
        </w:rPr>
        <w:t>C.3</w:t>
      </w:r>
      <w:r w:rsidRPr="00D00406">
        <w:rPr>
          <w:rFonts w:ascii="Times New Roman" w:hAnsi="Times New Roman"/>
        </w:rPr>
        <w:t>。</w:t>
      </w:r>
    </w:p>
    <w:p w14:paraId="4C2CB7A5" w14:textId="77777777" w:rsidR="00D00406" w:rsidRDefault="00D00406" w:rsidP="002653DE">
      <w:pPr>
        <w:adjustRightInd/>
        <w:spacing w:line="360" w:lineRule="auto"/>
        <w:ind w:firstLineChars="200" w:firstLine="420"/>
        <w:rPr>
          <w:rFonts w:ascii="Times New Roman" w:hAnsi="Times New Roman"/>
        </w:rPr>
      </w:pPr>
    </w:p>
    <w:p w14:paraId="3B4A937C" w14:textId="77777777" w:rsidR="00D00406" w:rsidRDefault="00D00406" w:rsidP="002653DE">
      <w:pPr>
        <w:adjustRightInd/>
        <w:spacing w:line="360" w:lineRule="auto"/>
        <w:ind w:firstLineChars="200" w:firstLine="420"/>
        <w:rPr>
          <w:rFonts w:ascii="Times New Roman" w:hAnsi="Times New Roman"/>
        </w:rPr>
      </w:pPr>
    </w:p>
    <w:p w14:paraId="3CA30FCA" w14:textId="77777777" w:rsidR="00D00406" w:rsidRDefault="00D00406" w:rsidP="002653DE">
      <w:pPr>
        <w:adjustRightInd/>
        <w:spacing w:line="360" w:lineRule="auto"/>
        <w:ind w:firstLineChars="200" w:firstLine="420"/>
        <w:rPr>
          <w:rFonts w:ascii="宋体" w:hAnsi="宋体" w:cs="宋体" w:hint="eastAsia"/>
        </w:rPr>
      </w:pPr>
    </w:p>
    <w:p w14:paraId="12738B07" w14:textId="734DFC74" w:rsidR="002653DE" w:rsidRDefault="002653DE" w:rsidP="00D00406">
      <w:pPr>
        <w:pStyle w:val="aff0"/>
        <w:spacing w:before="156" w:after="156"/>
        <w:rPr>
          <w:rFonts w:hint="eastAsia"/>
        </w:rPr>
      </w:pPr>
      <w:r>
        <w:rPr>
          <w:rFonts w:hint="eastAsia"/>
        </w:rPr>
        <w:lastRenderedPageBreak/>
        <w:t>风险值（R值）取值准则及</w:t>
      </w:r>
      <w:bookmarkEnd w:id="90"/>
      <w:bookmarkEnd w:id="91"/>
      <w:bookmarkEnd w:id="92"/>
      <w:r>
        <w:rPr>
          <w:rFonts w:hint="eastAsia"/>
        </w:rPr>
        <w:t>风险等级判定准则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82"/>
        <w:gridCol w:w="1650"/>
        <w:gridCol w:w="4245"/>
        <w:gridCol w:w="2025"/>
      </w:tblGrid>
      <w:tr w:rsidR="002653DE" w:rsidRPr="00D00406" w14:paraId="098EB613" w14:textId="77777777" w:rsidTr="005C5A80">
        <w:trPr>
          <w:trHeight w:hRule="exact" w:val="510"/>
          <w:jc w:val="center"/>
        </w:trPr>
        <w:tc>
          <w:tcPr>
            <w:tcW w:w="1382" w:type="dxa"/>
            <w:shd w:val="clear" w:color="auto" w:fill="FFFFFF"/>
            <w:vAlign w:val="center"/>
          </w:tcPr>
          <w:p w14:paraId="75A94AB4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00406">
              <w:rPr>
                <w:rFonts w:ascii="黑体" w:eastAsia="黑体" w:hAnsi="黑体"/>
                <w:bCs/>
                <w:sz w:val="18"/>
                <w:szCs w:val="18"/>
              </w:rPr>
              <w:t>风险值</w:t>
            </w:r>
          </w:p>
        </w:tc>
        <w:tc>
          <w:tcPr>
            <w:tcW w:w="1650" w:type="dxa"/>
            <w:shd w:val="clear" w:color="auto" w:fill="FFFFFF"/>
            <w:vAlign w:val="center"/>
          </w:tcPr>
          <w:p w14:paraId="7AA3E04F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00406">
              <w:rPr>
                <w:rFonts w:ascii="黑体" w:eastAsia="黑体" w:hAnsi="黑体"/>
                <w:bCs/>
                <w:sz w:val="18"/>
                <w:szCs w:val="18"/>
              </w:rPr>
              <w:t>风险等级</w:t>
            </w:r>
          </w:p>
        </w:tc>
        <w:tc>
          <w:tcPr>
            <w:tcW w:w="4245" w:type="dxa"/>
            <w:shd w:val="clear" w:color="auto" w:fill="FFFFFF"/>
            <w:vAlign w:val="center"/>
          </w:tcPr>
          <w:p w14:paraId="7BE13FE4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ind w:firstLine="361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00406">
              <w:rPr>
                <w:rFonts w:ascii="黑体" w:eastAsia="黑体" w:hAnsi="黑体"/>
                <w:bCs/>
                <w:sz w:val="18"/>
                <w:szCs w:val="18"/>
              </w:rPr>
              <w:t>应采取的行动/控制措施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0B5CFE26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D00406">
              <w:rPr>
                <w:rFonts w:ascii="黑体" w:eastAsia="黑体" w:hAnsi="黑体"/>
                <w:bCs/>
                <w:sz w:val="18"/>
                <w:szCs w:val="18"/>
              </w:rPr>
              <w:t>实施期限</w:t>
            </w:r>
          </w:p>
        </w:tc>
      </w:tr>
      <w:tr w:rsidR="002653DE" w:rsidRPr="00D00406" w14:paraId="68AF0930" w14:textId="77777777" w:rsidTr="005C5A80">
        <w:trPr>
          <w:trHeight w:hRule="exact" w:val="510"/>
          <w:jc w:val="center"/>
        </w:trPr>
        <w:tc>
          <w:tcPr>
            <w:tcW w:w="1382" w:type="dxa"/>
            <w:shd w:val="clear" w:color="auto" w:fill="FFFFFF"/>
            <w:vAlign w:val="center"/>
          </w:tcPr>
          <w:p w14:paraId="42EBA835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20-25</w:t>
            </w:r>
          </w:p>
        </w:tc>
        <w:tc>
          <w:tcPr>
            <w:tcW w:w="1650" w:type="dxa"/>
            <w:shd w:val="clear" w:color="auto" w:fill="FFFFFF"/>
            <w:vAlign w:val="center"/>
          </w:tcPr>
          <w:p w14:paraId="65A0C0A9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重大风险</w:t>
            </w:r>
          </w:p>
        </w:tc>
        <w:tc>
          <w:tcPr>
            <w:tcW w:w="4245" w:type="dxa"/>
            <w:shd w:val="clear" w:color="auto" w:fill="FFFFFF"/>
            <w:vAlign w:val="center"/>
          </w:tcPr>
          <w:p w14:paraId="630BF134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在采取措施降低危害前，不能继续作业，对改进措施进行评估。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5C31419D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立刻</w:t>
            </w:r>
          </w:p>
        </w:tc>
      </w:tr>
      <w:tr w:rsidR="002653DE" w:rsidRPr="00D00406" w14:paraId="6C5EF440" w14:textId="77777777" w:rsidTr="005C5A80">
        <w:trPr>
          <w:trHeight w:hRule="exact" w:val="510"/>
          <w:jc w:val="center"/>
        </w:trPr>
        <w:tc>
          <w:tcPr>
            <w:tcW w:w="1382" w:type="dxa"/>
            <w:shd w:val="clear" w:color="auto" w:fill="FFFFFF"/>
            <w:vAlign w:val="center"/>
          </w:tcPr>
          <w:p w14:paraId="1E005885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15-16</w:t>
            </w:r>
          </w:p>
        </w:tc>
        <w:tc>
          <w:tcPr>
            <w:tcW w:w="1650" w:type="dxa"/>
            <w:shd w:val="clear" w:color="auto" w:fill="FFFFFF"/>
            <w:vAlign w:val="center"/>
          </w:tcPr>
          <w:p w14:paraId="0E50B73E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较大风险</w:t>
            </w:r>
          </w:p>
        </w:tc>
        <w:tc>
          <w:tcPr>
            <w:tcW w:w="4245" w:type="dxa"/>
            <w:shd w:val="clear" w:color="auto" w:fill="FFFFFF"/>
            <w:vAlign w:val="center"/>
          </w:tcPr>
          <w:p w14:paraId="49927F98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采取紧急措施降低风险，建立运行控制程序，定期检查、测量及评估。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435BB4B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立即或近期整改</w:t>
            </w:r>
          </w:p>
        </w:tc>
      </w:tr>
      <w:tr w:rsidR="002653DE" w:rsidRPr="00D00406" w14:paraId="63AE8BA3" w14:textId="77777777" w:rsidTr="005C5A80">
        <w:trPr>
          <w:trHeight w:hRule="exact" w:val="510"/>
          <w:jc w:val="center"/>
        </w:trPr>
        <w:tc>
          <w:tcPr>
            <w:tcW w:w="1382" w:type="dxa"/>
            <w:shd w:val="clear" w:color="auto" w:fill="FFFFFF"/>
            <w:vAlign w:val="center"/>
          </w:tcPr>
          <w:p w14:paraId="11CD2A72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9-12</w:t>
            </w:r>
          </w:p>
        </w:tc>
        <w:tc>
          <w:tcPr>
            <w:tcW w:w="1650" w:type="dxa"/>
            <w:shd w:val="clear" w:color="auto" w:fill="FFFFFF"/>
            <w:vAlign w:val="center"/>
          </w:tcPr>
          <w:p w14:paraId="06E2202C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一般风险</w:t>
            </w:r>
          </w:p>
        </w:tc>
        <w:tc>
          <w:tcPr>
            <w:tcW w:w="4245" w:type="dxa"/>
            <w:shd w:val="clear" w:color="auto" w:fill="FFFFFF"/>
            <w:vAlign w:val="center"/>
          </w:tcPr>
          <w:p w14:paraId="2BF8F9C6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可考虑建立目标、建立操作规程，加强培训及沟通。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0992E6D7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 xml:space="preserve">2 </w:t>
            </w: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年</w:t>
            </w:r>
            <w:proofErr w:type="gramEnd"/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内治理</w:t>
            </w:r>
          </w:p>
        </w:tc>
      </w:tr>
      <w:tr w:rsidR="002653DE" w:rsidRPr="00D00406" w14:paraId="67B6EC65" w14:textId="77777777" w:rsidTr="005C5A80">
        <w:trPr>
          <w:trHeight w:hRule="exact" w:val="510"/>
          <w:jc w:val="center"/>
        </w:trPr>
        <w:tc>
          <w:tcPr>
            <w:tcW w:w="1382" w:type="dxa"/>
            <w:shd w:val="clear" w:color="auto" w:fill="FFFFFF"/>
            <w:vAlign w:val="center"/>
          </w:tcPr>
          <w:p w14:paraId="3A2FDBA2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4-8</w:t>
            </w:r>
          </w:p>
        </w:tc>
        <w:tc>
          <w:tcPr>
            <w:tcW w:w="1650" w:type="dxa"/>
            <w:shd w:val="clear" w:color="auto" w:fill="FFFFFF"/>
            <w:vAlign w:val="center"/>
          </w:tcPr>
          <w:p w14:paraId="5909B383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低风险</w:t>
            </w:r>
          </w:p>
        </w:tc>
        <w:tc>
          <w:tcPr>
            <w:tcW w:w="4245" w:type="dxa"/>
            <w:shd w:val="clear" w:color="auto" w:fill="FFFFFF"/>
            <w:vAlign w:val="center"/>
          </w:tcPr>
          <w:p w14:paraId="64388460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可考虑建立操作规程、作业指导书，但需定期检查。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673B4445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有条件、有经费时治理</w:t>
            </w:r>
          </w:p>
        </w:tc>
      </w:tr>
      <w:tr w:rsidR="002653DE" w:rsidRPr="00D00406" w14:paraId="65B0CC52" w14:textId="77777777" w:rsidTr="005C5A80">
        <w:trPr>
          <w:trHeight w:hRule="exact" w:val="510"/>
          <w:jc w:val="center"/>
        </w:trPr>
        <w:tc>
          <w:tcPr>
            <w:tcW w:w="1382" w:type="dxa"/>
            <w:shd w:val="clear" w:color="auto" w:fill="FFFFFF"/>
            <w:vAlign w:val="center"/>
          </w:tcPr>
          <w:p w14:paraId="6F97DD05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1650" w:type="dxa"/>
            <w:shd w:val="clear" w:color="auto" w:fill="FFFFFF"/>
            <w:vAlign w:val="center"/>
          </w:tcPr>
          <w:p w14:paraId="3006EC19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轻微风险</w:t>
            </w:r>
          </w:p>
        </w:tc>
        <w:tc>
          <w:tcPr>
            <w:tcW w:w="4245" w:type="dxa"/>
            <w:shd w:val="clear" w:color="auto" w:fill="FFFFFF"/>
            <w:vAlign w:val="center"/>
          </w:tcPr>
          <w:p w14:paraId="149C487C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406">
              <w:rPr>
                <w:rFonts w:ascii="Times New Roman" w:hAnsi="Times New Roman"/>
                <w:bCs/>
                <w:sz w:val="18"/>
                <w:szCs w:val="18"/>
              </w:rPr>
              <w:t>无需采用控制措施，但需保存记录。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4A9588E0" w14:textId="77777777" w:rsidR="002653DE" w:rsidRPr="00D00406" w:rsidRDefault="002653DE" w:rsidP="005C5A80">
            <w:pPr>
              <w:autoSpaceDE w:val="0"/>
              <w:autoSpaceDN w:val="0"/>
              <w:snapToGrid w:val="0"/>
              <w:spacing w:line="240" w:lineRule="exact"/>
              <w:ind w:firstLine="40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A9B428D" w14:textId="77777777" w:rsidR="002653DE" w:rsidRDefault="002653DE" w:rsidP="002653DE">
      <w:pPr>
        <w:pStyle w:val="afffff7"/>
        <w:ind w:firstLineChars="0" w:firstLine="0"/>
        <w:jc w:val="center"/>
      </w:pPr>
    </w:p>
    <w:p w14:paraId="6B162849" w14:textId="77777777" w:rsidR="002653DE" w:rsidRPr="002653DE" w:rsidRDefault="002653DE" w:rsidP="002653DE">
      <w:pPr>
        <w:pStyle w:val="afffff7"/>
        <w:ind w:firstLine="420"/>
        <w:rPr>
          <w:rFonts w:hint="eastAsia"/>
        </w:rPr>
      </w:pPr>
    </w:p>
    <w:p w14:paraId="0C46F099" w14:textId="77777777" w:rsidR="002653DE" w:rsidRDefault="002653DE" w:rsidP="002653DE">
      <w:pPr>
        <w:pStyle w:val="afffff7"/>
        <w:ind w:firstLine="420"/>
        <w:rPr>
          <w:rFonts w:hint="eastAsia"/>
        </w:rPr>
      </w:pPr>
    </w:p>
    <w:p w14:paraId="121984FD" w14:textId="1762EA12" w:rsidR="00F862B4" w:rsidRDefault="00D00406" w:rsidP="00D00406">
      <w:pPr>
        <w:pStyle w:val="afffff7"/>
        <w:ind w:firstLineChars="0" w:firstLine="0"/>
        <w:jc w:val="center"/>
      </w:pPr>
      <w:bookmarkStart w:id="93" w:name="BookMark8"/>
      <w:bookmarkEnd w:id="74"/>
      <w:r>
        <w:rPr>
          <w:noProof/>
        </w:rPr>
        <w:drawing>
          <wp:inline distT="0" distB="0" distL="0" distR="0" wp14:anchorId="48BA6AC9" wp14:editId="5697EFE3">
            <wp:extent cx="1485900" cy="317500"/>
            <wp:effectExtent l="0" t="0" r="0" b="6350"/>
            <wp:docPr id="35669865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98652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3"/>
    </w:p>
    <w:sectPr w:rsidR="00F862B4" w:rsidSect="00D00406">
      <w:headerReference w:type="even" r:id="rId39"/>
      <w:headerReference w:type="default" r:id="rId40"/>
      <w:footerReference w:type="even" r:id="rId41"/>
      <w:footerReference w:type="default" r:id="rId42"/>
      <w:pgSz w:w="11906" w:h="16838"/>
      <w:pgMar w:top="1928" w:right="1134" w:bottom="1134" w:left="1134" w:header="1418" w:footer="1134" w:gutter="284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18043" w14:textId="77777777" w:rsidR="008E1EC3" w:rsidRDefault="008E1EC3">
      <w:pPr>
        <w:spacing w:line="240" w:lineRule="auto"/>
      </w:pPr>
      <w:r>
        <w:separator/>
      </w:r>
    </w:p>
  </w:endnote>
  <w:endnote w:type="continuationSeparator" w:id="0">
    <w:p w14:paraId="39874138" w14:textId="77777777" w:rsidR="008E1EC3" w:rsidRDefault="008E1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508" w14:textId="77777777" w:rsidR="00F862B4" w:rsidRDefault="00000000">
    <w:pPr>
      <w:pStyle w:val="affff0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9DFB" w14:textId="4E21D506" w:rsidR="00D00406" w:rsidRPr="00D00406" w:rsidRDefault="00D00406" w:rsidP="00D00406">
    <w:pPr>
      <w:pStyle w:val="afffff3"/>
    </w:pPr>
    <w:r>
      <w:fldChar w:fldCharType="begin"/>
    </w:r>
    <w:r>
      <w:instrText xml:space="preserve"> PAGE   \* MERGEFORMAT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1949" w14:textId="77777777" w:rsidR="00D00406" w:rsidRDefault="00D00406" w:rsidP="00D00406">
    <w:pPr>
      <w:pStyle w:val="afffff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2AA1" w14:textId="73A83FF8" w:rsidR="00D00406" w:rsidRPr="00D00406" w:rsidRDefault="00D00406" w:rsidP="00D00406">
    <w:pPr>
      <w:pStyle w:val="afffff3"/>
    </w:pPr>
    <w:r>
      <w:fldChar w:fldCharType="begin"/>
    </w:r>
    <w:r>
      <w:instrText xml:space="preserve"> PAGE   \* MERGEFORMAT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D416" w14:textId="77777777" w:rsidR="00D00406" w:rsidRDefault="00D00406" w:rsidP="00D00406">
    <w:pPr>
      <w:pStyle w:val="afffff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226C" w14:textId="7A913F19" w:rsidR="00D00406" w:rsidRPr="00D00406" w:rsidRDefault="00D00406" w:rsidP="00D00406">
    <w:pPr>
      <w:pStyle w:val="afffff3"/>
    </w:pPr>
    <w:r>
      <w:fldChar w:fldCharType="begin"/>
    </w:r>
    <w:r>
      <w:instrText xml:space="preserve"> PAGE   \* MERGEFORMAT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74FD" w14:textId="77777777" w:rsidR="00D00406" w:rsidRDefault="00D00406" w:rsidP="00D00406">
    <w:pPr>
      <w:pStyle w:val="afffff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27B7" w14:textId="22DADAA8" w:rsidR="00D00406" w:rsidRPr="00D00406" w:rsidRDefault="00D00406" w:rsidP="00D00406">
    <w:pPr>
      <w:pStyle w:val="afffff3"/>
    </w:pPr>
    <w:r>
      <w:fldChar w:fldCharType="begin"/>
    </w:r>
    <w:r>
      <w:instrText xml:space="preserve"> PAGE   \* MERGEFORMAT \* MERGEFORMAT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8F2A" w14:textId="77777777" w:rsidR="00D00406" w:rsidRDefault="00D00406" w:rsidP="00D00406">
    <w:pPr>
      <w:pStyle w:val="afffff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509" w14:textId="77777777" w:rsidR="00F862B4" w:rsidRDefault="00F862B4">
    <w:pPr>
      <w:pStyle w:val="aff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50B" w14:textId="77777777" w:rsidR="00F862B4" w:rsidRDefault="00F862B4">
    <w:pPr>
      <w:pStyle w:val="affff0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54E8" w14:textId="07141BFF" w:rsidR="00D00406" w:rsidRPr="00D00406" w:rsidRDefault="00D00406" w:rsidP="00D00406">
    <w:pPr>
      <w:pStyle w:val="afffff3"/>
    </w:pPr>
    <w:r>
      <w:fldChar w:fldCharType="begin"/>
    </w:r>
    <w:r>
      <w:instrText xml:space="preserve"> PAGE   \* MERGEFORMAT \* MERGEFORMAT </w:instrText>
    </w:r>
    <w:r>
      <w:fldChar w:fldCharType="separate"/>
    </w:r>
    <w:r>
      <w:rPr>
        <w:noProof/>
      </w:rPr>
      <w:t>II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50E" w14:textId="77777777" w:rsidR="00F862B4" w:rsidRDefault="00000000" w:rsidP="00D00406">
    <w:pPr>
      <w:pStyle w:val="afffff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E8BB" w14:textId="5D204F98" w:rsidR="00D00406" w:rsidRPr="00D00406" w:rsidRDefault="00D00406" w:rsidP="00D00406">
    <w:pPr>
      <w:pStyle w:val="afffff3"/>
    </w:pPr>
    <w:r>
      <w:fldChar w:fldCharType="begin"/>
    </w:r>
    <w:r>
      <w:instrText xml:space="preserve"> PAGE   \* MERGEFORMAT \* MERGEFORMAT </w:instrText>
    </w:r>
    <w:r>
      <w:fldChar w:fldCharType="separate"/>
    </w:r>
    <w:r>
      <w:rPr>
        <w:noProof/>
      </w:rPr>
      <w:t>I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6B7A" w14:textId="77777777" w:rsidR="00D00406" w:rsidRDefault="00D00406" w:rsidP="00D00406">
    <w:pPr>
      <w:pStyle w:val="afffff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8AB0" w14:textId="34973CC1" w:rsidR="00D00406" w:rsidRPr="00D00406" w:rsidRDefault="00D00406" w:rsidP="00D00406">
    <w:pPr>
      <w:pStyle w:val="afffff3"/>
    </w:pPr>
    <w:r>
      <w:fldChar w:fldCharType="begin"/>
    </w:r>
    <w:r>
      <w:instrText xml:space="preserve"> PAGE   \* MERGEFORMAT \* MERGEFORMAT </w:instrText>
    </w:r>
    <w:r>
      <w:fldChar w:fldCharType="separate"/>
    </w:r>
    <w:r>
      <w:rPr>
        <w:noProof/>
      </w:rPr>
      <w:t>IV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7F4F" w14:textId="77777777" w:rsidR="00D00406" w:rsidRDefault="00D00406" w:rsidP="00D00406">
    <w:pPr>
      <w:pStyle w:val="afffff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7E81" w14:textId="77777777" w:rsidR="008E1EC3" w:rsidRDefault="008E1EC3">
      <w:pPr>
        <w:spacing w:line="240" w:lineRule="auto"/>
      </w:pPr>
      <w:r>
        <w:separator/>
      </w:r>
    </w:p>
  </w:footnote>
  <w:footnote w:type="continuationSeparator" w:id="0">
    <w:p w14:paraId="3F0D1B17" w14:textId="77777777" w:rsidR="008E1EC3" w:rsidRDefault="008E1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506" w14:textId="77777777" w:rsidR="00F862B4" w:rsidRDefault="00F862B4">
    <w:pPr>
      <w:pStyle w:val="affff2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BB8C1" w14:textId="5674DF02" w:rsidR="00D00406" w:rsidRPr="00D00406" w:rsidRDefault="00D00406" w:rsidP="00D00406">
    <w:pPr>
      <w:pStyle w:val="afffffd"/>
    </w:pPr>
    <w:r>
      <w:rPr>
        <w:rFonts w:hint="eastAsia"/>
      </w:rPr>
      <w:fldChar w:fldCharType="begin"/>
    </w:r>
    <w:r>
      <w:rPr>
        <w:rFonts w:hint="eastAsia"/>
      </w:rPr>
      <w:instrText xml:space="preserve"> STYLEREF  标准文件_文件编号 \* MERGEFORMAT </w:instrText>
    </w:r>
    <w:r>
      <w:rPr>
        <w:rFonts w:hint="eastAsia"/>
      </w:rPr>
      <w:fldChar w:fldCharType="separate"/>
    </w:r>
    <w:r>
      <w:rPr>
        <w:rFonts w:hint="eastAsia"/>
        <w:noProof/>
      </w:rPr>
      <w:t>T/ ZAWS××—2025</w:t>
    </w:r>
    <w:r>
      <w:rPr>
        <w:rFonts w:hint="eastAsia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5AEC" w14:textId="7023F820" w:rsidR="00D00406" w:rsidRDefault="00D00406" w:rsidP="00D00406">
    <w:pPr>
      <w:pStyle w:val="afffffc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rPr>
        <w:rFonts w:hint="eastAsia"/>
        <w:noProof/>
      </w:rPr>
      <w:t>T/ ZAWS××—2025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9F45" w14:textId="7374C6D4" w:rsidR="00D00406" w:rsidRPr="00D00406" w:rsidRDefault="00D00406" w:rsidP="00D00406">
    <w:pPr>
      <w:pStyle w:val="afffffd"/>
    </w:pPr>
    <w:r>
      <w:rPr>
        <w:rFonts w:hint="eastAsia"/>
      </w:rPr>
      <w:fldChar w:fldCharType="begin"/>
    </w:r>
    <w:r>
      <w:rPr>
        <w:rFonts w:hint="eastAsia"/>
      </w:rPr>
      <w:instrText xml:space="preserve"> STYLEREF  标准文件_文件编号 \* MERGEFORMAT </w:instrText>
    </w:r>
    <w:r>
      <w:rPr>
        <w:rFonts w:hint="eastAsia"/>
      </w:rPr>
      <w:fldChar w:fldCharType="separate"/>
    </w:r>
    <w:r>
      <w:rPr>
        <w:rFonts w:hint="eastAsia"/>
        <w:noProof/>
      </w:rPr>
      <w:t>T/ ZAWS××—2025</w:t>
    </w:r>
    <w:r>
      <w:rPr>
        <w:rFonts w:hint="eastAsia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139F" w14:textId="77777777" w:rsidR="00D00406" w:rsidRDefault="00D00406" w:rsidP="00D00406">
    <w:pPr>
      <w:pStyle w:val="afffffc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rPr>
        <w:rFonts w:hint="eastAsia"/>
        <w:noProof/>
      </w:rPr>
      <w:t>T/ ZAWS××—2025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28C5" w14:textId="77061FA2" w:rsidR="00D00406" w:rsidRPr="00D00406" w:rsidRDefault="00D00406" w:rsidP="00D00406">
    <w:pPr>
      <w:pStyle w:val="afffffd"/>
    </w:pPr>
    <w:r>
      <w:rPr>
        <w:rFonts w:hint="eastAsia"/>
      </w:rPr>
      <w:fldChar w:fldCharType="begin"/>
    </w:r>
    <w:r>
      <w:rPr>
        <w:rFonts w:hint="eastAsia"/>
      </w:rPr>
      <w:instrText xml:space="preserve"> STYLEREF  标准文件_文件编号 \* MERGEFORMAT </w:instrText>
    </w:r>
    <w:r>
      <w:rPr>
        <w:rFonts w:hint="eastAsia"/>
      </w:rPr>
      <w:fldChar w:fldCharType="separate"/>
    </w:r>
    <w:r>
      <w:rPr>
        <w:rFonts w:hint="eastAsia"/>
        <w:noProof/>
      </w:rPr>
      <w:t>T/ ZAWS××—2025</w:t>
    </w:r>
    <w:r>
      <w:rPr>
        <w:rFonts w:hint="eastAsia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4DBD" w14:textId="7FE7E2FF" w:rsidR="00D00406" w:rsidRDefault="00D00406" w:rsidP="00D00406">
    <w:pPr>
      <w:pStyle w:val="afffffc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rPr>
        <w:rFonts w:hint="eastAsia"/>
        <w:noProof/>
      </w:rPr>
      <w:t>T/ ZAWS××—2025</w:t>
    </w:r>
    <w: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5E60" w14:textId="7E829CD3" w:rsidR="00D00406" w:rsidRPr="00D00406" w:rsidRDefault="00D00406" w:rsidP="00D00406">
    <w:pPr>
      <w:pStyle w:val="afffffd"/>
    </w:pPr>
    <w:r>
      <w:rPr>
        <w:rFonts w:hint="eastAsia"/>
      </w:rPr>
      <w:fldChar w:fldCharType="begin"/>
    </w:r>
    <w:r>
      <w:rPr>
        <w:rFonts w:hint="eastAsia"/>
      </w:rPr>
      <w:instrText xml:space="preserve"> STYLEREF  标准文件_文件编号 \* MERGEFORMAT </w:instrText>
    </w:r>
    <w:r>
      <w:rPr>
        <w:rFonts w:hint="eastAsia"/>
      </w:rPr>
      <w:fldChar w:fldCharType="separate"/>
    </w:r>
    <w:r>
      <w:rPr>
        <w:rFonts w:hint="eastAsia"/>
        <w:noProof/>
      </w:rPr>
      <w:t>T/ ZAWS××—2025</w:t>
    </w:r>
    <w:r>
      <w:rPr>
        <w:rFonts w:hint="eastAsia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C34A" w14:textId="16B6EDDA" w:rsidR="00D00406" w:rsidRDefault="00D00406" w:rsidP="00D00406">
    <w:pPr>
      <w:pStyle w:val="afffffc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rPr>
        <w:rFonts w:hint="eastAsia"/>
        <w:noProof/>
      </w:rPr>
      <w:t>T/ ZAWS××—2025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507" w14:textId="77777777" w:rsidR="00F862B4" w:rsidRDefault="00000000">
    <w:pPr>
      <w:pStyle w:val="affff2"/>
      <w:wordWrap w:val="0"/>
      <w:jc w:val="right"/>
      <w:rPr>
        <w:rFonts w:ascii="黑体" w:eastAsia="黑体" w:hAnsi="黑体" w:hint="eastAsia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50A" w14:textId="77777777" w:rsidR="00F862B4" w:rsidRDefault="00F862B4">
    <w:pPr>
      <w:pStyle w:val="affff2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50C" w14:textId="1E2231AC" w:rsidR="00F862B4" w:rsidRPr="00D00406" w:rsidRDefault="00D00406" w:rsidP="00D00406">
    <w:pPr>
      <w:pStyle w:val="afffffd"/>
    </w:pPr>
    <w:r>
      <w:rPr>
        <w:rFonts w:hint="eastAsia"/>
      </w:rPr>
      <w:fldChar w:fldCharType="begin"/>
    </w:r>
    <w:r>
      <w:rPr>
        <w:rFonts w:hint="eastAsia"/>
      </w:rPr>
      <w:instrText xml:space="preserve"> </w:instrText>
    </w:r>
    <w:r>
      <w:instrText>STYLEREF  标准文件_文件编号 \* MERGEFORMAT</w:instrText>
    </w:r>
    <w:r>
      <w:rPr>
        <w:rFonts w:hint="eastAsia"/>
      </w:rPr>
      <w:instrText xml:space="preserve"> </w:instrText>
    </w:r>
    <w:r>
      <w:rPr>
        <w:rFonts w:hint="eastAsia"/>
      </w:rPr>
      <w:fldChar w:fldCharType="separate"/>
    </w:r>
    <w:r>
      <w:rPr>
        <w:rFonts w:hint="eastAsia"/>
        <w:noProof/>
      </w:rPr>
      <w:t>T/ ZAWS××—2025</w:t>
    </w:r>
    <w:r>
      <w:rPr>
        <w:rFonts w:hint="eastAsia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850D" w14:textId="05FA875D" w:rsidR="00F862B4" w:rsidRDefault="00000000" w:rsidP="00D00406">
    <w:pPr>
      <w:pStyle w:val="afffffc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 w:rsidR="00D00406">
      <w:rPr>
        <w:rFonts w:hint="eastAsia"/>
        <w:noProof/>
      </w:rPr>
      <w:t>T/ ZAWS××—2025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EBE4" w14:textId="49A41CE6" w:rsidR="00D00406" w:rsidRPr="00D00406" w:rsidRDefault="00D00406" w:rsidP="00D00406">
    <w:pPr>
      <w:pStyle w:val="afffffd"/>
    </w:pPr>
    <w:r>
      <w:rPr>
        <w:rFonts w:hint="eastAsia"/>
      </w:rPr>
      <w:fldChar w:fldCharType="begin"/>
    </w:r>
    <w:r>
      <w:rPr>
        <w:rFonts w:hint="eastAsia"/>
      </w:rPr>
      <w:instrText xml:space="preserve"> STYLEREF  标准文件_文件编号 \* MERGEFORMAT </w:instrText>
    </w:r>
    <w:r>
      <w:rPr>
        <w:rFonts w:hint="eastAsia"/>
      </w:rPr>
      <w:fldChar w:fldCharType="separate"/>
    </w:r>
    <w:r>
      <w:rPr>
        <w:rFonts w:hint="eastAsia"/>
        <w:noProof/>
      </w:rPr>
      <w:t>T/ ZAWS××—2025</w:t>
    </w:r>
    <w:r>
      <w:rPr>
        <w:rFonts w:hint="eastAsia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11E1" w14:textId="7A4B587E" w:rsidR="00D00406" w:rsidRDefault="00D00406" w:rsidP="00D00406">
    <w:pPr>
      <w:pStyle w:val="afffffc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rPr>
        <w:rFonts w:hint="eastAsia"/>
        <w:noProof/>
      </w:rPr>
      <w:t>T/ ZAWS××—2025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FF46" w14:textId="640D1BBE" w:rsidR="00D00406" w:rsidRPr="00D00406" w:rsidRDefault="00D00406" w:rsidP="00D00406">
    <w:pPr>
      <w:pStyle w:val="afffffd"/>
    </w:pPr>
    <w:r>
      <w:rPr>
        <w:rFonts w:hint="eastAsia"/>
      </w:rPr>
      <w:fldChar w:fldCharType="begin"/>
    </w:r>
    <w:r>
      <w:rPr>
        <w:rFonts w:hint="eastAsia"/>
      </w:rPr>
      <w:instrText xml:space="preserve"> STYLEREF  标准文件_文件编号 \* MERGEFORMAT </w:instrText>
    </w:r>
    <w:r>
      <w:rPr>
        <w:rFonts w:hint="eastAsia"/>
      </w:rPr>
      <w:fldChar w:fldCharType="separate"/>
    </w:r>
    <w:r>
      <w:rPr>
        <w:rFonts w:hint="eastAsia"/>
        <w:noProof/>
      </w:rPr>
      <w:t>T/ ZAWS××—2025</w:t>
    </w:r>
    <w:r>
      <w:rPr>
        <w:rFonts w:hint="eastAsia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BC49" w14:textId="3F37FDAD" w:rsidR="00D00406" w:rsidRDefault="00D00406" w:rsidP="00D00406">
    <w:pPr>
      <w:pStyle w:val="afffffc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rPr>
        <w:rFonts w:hint="eastAsia"/>
        <w:noProof/>
      </w:rPr>
      <w:t>T/ ZAWS××—2025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86E72B"/>
    <w:multiLevelType w:val="singleLevel"/>
    <w:tmpl w:val="C386E72B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F4672CD5"/>
    <w:multiLevelType w:val="singleLevel"/>
    <w:tmpl w:val="F4672CD5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3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4" w15:restartNumberingAfterBreak="0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5" w15:restartNumberingAfterBreak="0">
    <w:nsid w:val="07ED3FEA"/>
    <w:multiLevelType w:val="multilevel"/>
    <w:tmpl w:val="72A218F8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7" w15:restartNumberingAfterBreak="0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9" w15:restartNumberingAfterBreak="0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1" w15:restartNumberingAfterBreak="0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2" w15:restartNumberingAfterBreak="0">
    <w:nsid w:val="2C5917C3"/>
    <w:multiLevelType w:val="multilevel"/>
    <w:tmpl w:val="9888241C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黑体" w:eastAsia="黑体" w:hAnsi="黑体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3" w15:restartNumberingAfterBreak="0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 w15:restartNumberingAfterBreak="0">
    <w:nsid w:val="3FB53989"/>
    <w:multiLevelType w:val="multilevel"/>
    <w:tmpl w:val="3FB53989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f5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4C50F90"/>
    <w:multiLevelType w:val="multilevel"/>
    <w:tmpl w:val="25B4EA32"/>
    <w:lvl w:ilvl="0">
      <w:start w:val="1"/>
      <w:numFmt w:val="lowerLetter"/>
      <w:pStyle w:val="af6"/>
      <w:lvlText w:val="%1)"/>
      <w:lvlJc w:val="left"/>
      <w:pPr>
        <w:tabs>
          <w:tab w:val="left" w:pos="851"/>
        </w:tabs>
        <w:ind w:left="851" w:hanging="426"/>
      </w:pPr>
      <w:rPr>
        <w:rFonts w:ascii="Times New Roman" w:eastAsia="宋体" w:hAnsi="Times New Roman" w:cs="Times New Roman" w:hint="default"/>
        <w:sz w:val="21"/>
      </w:rPr>
    </w:lvl>
    <w:lvl w:ilvl="1">
      <w:start w:val="1"/>
      <w:numFmt w:val="decimal"/>
      <w:pStyle w:val="af7"/>
      <w:lvlText w:val="%2)"/>
      <w:lvlJc w:val="left"/>
      <w:pPr>
        <w:tabs>
          <w:tab w:val="left" w:pos="1276"/>
        </w:tabs>
        <w:ind w:left="1276" w:hanging="425"/>
      </w:pPr>
      <w:rPr>
        <w:rFonts w:ascii="Times New Roman" w:eastAsia="宋体" w:hAnsi="Times New Roman" w:cs="Times New Roman" w:hint="default"/>
        <w:sz w:val="21"/>
      </w:rPr>
    </w:lvl>
    <w:lvl w:ilvl="2">
      <w:start w:val="1"/>
      <w:numFmt w:val="decimal"/>
      <w:pStyle w:val="af8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6" w15:restartNumberingAfterBreak="0">
    <w:nsid w:val="48802D1C"/>
    <w:multiLevelType w:val="multilevel"/>
    <w:tmpl w:val="48802D1C"/>
    <w:lvl w:ilvl="0">
      <w:start w:val="1"/>
      <w:numFmt w:val="upperLetter"/>
      <w:pStyle w:val="af9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a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" w15:restartNumberingAfterBreak="0">
    <w:nsid w:val="4B733A5F"/>
    <w:multiLevelType w:val="multilevel"/>
    <w:tmpl w:val="4B733A5F"/>
    <w:lvl w:ilvl="0">
      <w:start w:val="1"/>
      <w:numFmt w:val="decimal"/>
      <w:pStyle w:val="afb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8" w15:restartNumberingAfterBreak="0">
    <w:nsid w:val="4E5D0534"/>
    <w:multiLevelType w:val="multilevel"/>
    <w:tmpl w:val="4E5D0534"/>
    <w:lvl w:ilvl="0">
      <w:start w:val="1"/>
      <w:numFmt w:val="decimal"/>
      <w:pStyle w:val="afc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9" w15:restartNumberingAfterBreak="0">
    <w:nsid w:val="54632751"/>
    <w:multiLevelType w:val="multilevel"/>
    <w:tmpl w:val="54632751"/>
    <w:lvl w:ilvl="0">
      <w:start w:val="1"/>
      <w:numFmt w:val="none"/>
      <w:pStyle w:val="afd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20" w15:restartNumberingAfterBreak="0">
    <w:nsid w:val="557C2AF5"/>
    <w:multiLevelType w:val="multilevel"/>
    <w:tmpl w:val="557C2AF5"/>
    <w:lvl w:ilvl="0">
      <w:start w:val="1"/>
      <w:numFmt w:val="decimal"/>
      <w:pStyle w:val="afe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1" w15:restartNumberingAfterBreak="0">
    <w:nsid w:val="5603797C"/>
    <w:multiLevelType w:val="multilevel"/>
    <w:tmpl w:val="5603797C"/>
    <w:lvl w:ilvl="0">
      <w:start w:val="1"/>
      <w:numFmt w:val="upperLetter"/>
      <w:pStyle w:val="aff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0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564D2089"/>
    <w:multiLevelType w:val="multilevel"/>
    <w:tmpl w:val="564D2089"/>
    <w:lvl w:ilvl="0">
      <w:start w:val="1"/>
      <w:numFmt w:val="none"/>
      <w:pStyle w:val="aff1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 w15:restartNumberingAfterBreak="0">
    <w:nsid w:val="644622F9"/>
    <w:multiLevelType w:val="multilevel"/>
    <w:tmpl w:val="644622F9"/>
    <w:lvl w:ilvl="0">
      <w:start w:val="1"/>
      <w:numFmt w:val="upperRoman"/>
      <w:pStyle w:val="aff2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4" w15:restartNumberingAfterBreak="0">
    <w:nsid w:val="646260FA"/>
    <w:multiLevelType w:val="multilevel"/>
    <w:tmpl w:val="646260FA"/>
    <w:lvl w:ilvl="0">
      <w:start w:val="1"/>
      <w:numFmt w:val="decimal"/>
      <w:pStyle w:val="aff3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5" w15:restartNumberingAfterBreak="0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657D3FBC"/>
    <w:multiLevelType w:val="multilevel"/>
    <w:tmpl w:val="657D3FBC"/>
    <w:lvl w:ilvl="0">
      <w:start w:val="1"/>
      <w:numFmt w:val="upperLetter"/>
      <w:pStyle w:val="aff4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5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6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7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8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9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8" w15:restartNumberingAfterBreak="0">
    <w:nsid w:val="6CA41985"/>
    <w:multiLevelType w:val="multilevel"/>
    <w:tmpl w:val="6CA41985"/>
    <w:lvl w:ilvl="0">
      <w:start w:val="1"/>
      <w:numFmt w:val="decimal"/>
      <w:pStyle w:val="affa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 w15:restartNumberingAfterBreak="0">
    <w:nsid w:val="6CE42AC1"/>
    <w:multiLevelType w:val="multilevel"/>
    <w:tmpl w:val="6CE42AC1"/>
    <w:lvl w:ilvl="0">
      <w:start w:val="1"/>
      <w:numFmt w:val="lowerLetter"/>
      <w:pStyle w:val="affb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EA2025"/>
    <w:multiLevelType w:val="multilevel"/>
    <w:tmpl w:val="6CEA2025"/>
    <w:lvl w:ilvl="0">
      <w:start w:val="1"/>
      <w:numFmt w:val="none"/>
      <w:pStyle w:val="affc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d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e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f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0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1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2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1" w15:restartNumberingAfterBreak="0">
    <w:nsid w:val="6DBF04F4"/>
    <w:multiLevelType w:val="multilevel"/>
    <w:tmpl w:val="6DBF04F4"/>
    <w:lvl w:ilvl="0">
      <w:start w:val="1"/>
      <w:numFmt w:val="none"/>
      <w:pStyle w:val="afff3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2" w15:restartNumberingAfterBreak="0">
    <w:nsid w:val="6DF35F19"/>
    <w:multiLevelType w:val="multilevel"/>
    <w:tmpl w:val="6DF35F19"/>
    <w:lvl w:ilvl="0">
      <w:start w:val="1"/>
      <w:numFmt w:val="decimal"/>
      <w:pStyle w:val="afff4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3" w15:restartNumberingAfterBreak="0">
    <w:nsid w:val="76933334"/>
    <w:multiLevelType w:val="multilevel"/>
    <w:tmpl w:val="76933334"/>
    <w:lvl w:ilvl="0">
      <w:start w:val="1"/>
      <w:numFmt w:val="none"/>
      <w:pStyle w:val="afff5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743453226">
    <w:abstractNumId w:val="2"/>
  </w:num>
  <w:num w:numId="2" w16cid:durableId="359937931">
    <w:abstractNumId w:val="30"/>
  </w:num>
  <w:num w:numId="3" w16cid:durableId="236206786">
    <w:abstractNumId w:val="7"/>
  </w:num>
  <w:num w:numId="4" w16cid:durableId="1395469275">
    <w:abstractNumId w:val="26"/>
  </w:num>
  <w:num w:numId="5" w16cid:durableId="930625969">
    <w:abstractNumId w:val="21"/>
  </w:num>
  <w:num w:numId="6" w16cid:durableId="1726560348">
    <w:abstractNumId w:val="16"/>
  </w:num>
  <w:num w:numId="7" w16cid:durableId="2116904870">
    <w:abstractNumId w:val="10"/>
  </w:num>
  <w:num w:numId="8" w16cid:durableId="1431395784">
    <w:abstractNumId w:val="5"/>
  </w:num>
  <w:num w:numId="9" w16cid:durableId="1093816703">
    <w:abstractNumId w:val="11"/>
  </w:num>
  <w:num w:numId="10" w16cid:durableId="1190486788">
    <w:abstractNumId w:val="19"/>
  </w:num>
  <w:num w:numId="11" w16cid:durableId="1977565630">
    <w:abstractNumId w:val="28"/>
  </w:num>
  <w:num w:numId="12" w16cid:durableId="1037004246">
    <w:abstractNumId w:val="13"/>
  </w:num>
  <w:num w:numId="13" w16cid:durableId="1949238414">
    <w:abstractNumId w:val="15"/>
  </w:num>
  <w:num w:numId="14" w16cid:durableId="657422630">
    <w:abstractNumId w:val="9"/>
  </w:num>
  <w:num w:numId="15" w16cid:durableId="749041851">
    <w:abstractNumId w:val="22"/>
  </w:num>
  <w:num w:numId="16" w16cid:durableId="1455098170">
    <w:abstractNumId w:val="24"/>
  </w:num>
  <w:num w:numId="17" w16cid:durableId="1090589617">
    <w:abstractNumId w:val="20"/>
  </w:num>
  <w:num w:numId="18" w16cid:durableId="1459376539">
    <w:abstractNumId w:val="32"/>
  </w:num>
  <w:num w:numId="19" w16cid:durableId="1274554665">
    <w:abstractNumId w:val="18"/>
  </w:num>
  <w:num w:numId="20" w16cid:durableId="29957212">
    <w:abstractNumId w:val="3"/>
  </w:num>
  <w:num w:numId="21" w16cid:durableId="654189909">
    <w:abstractNumId w:val="12"/>
  </w:num>
  <w:num w:numId="22" w16cid:durableId="1457487467">
    <w:abstractNumId w:val="33"/>
  </w:num>
  <w:num w:numId="23" w16cid:durableId="1758016737">
    <w:abstractNumId w:val="23"/>
  </w:num>
  <w:num w:numId="24" w16cid:durableId="498155798">
    <w:abstractNumId w:val="8"/>
  </w:num>
  <w:num w:numId="25" w16cid:durableId="1075979746">
    <w:abstractNumId w:val="29"/>
  </w:num>
  <w:num w:numId="26" w16cid:durableId="389958226">
    <w:abstractNumId w:val="31"/>
  </w:num>
  <w:num w:numId="27" w16cid:durableId="1395351778">
    <w:abstractNumId w:val="4"/>
  </w:num>
  <w:num w:numId="28" w16cid:durableId="460460453">
    <w:abstractNumId w:val="6"/>
  </w:num>
  <w:num w:numId="29" w16cid:durableId="2030402129">
    <w:abstractNumId w:val="17"/>
  </w:num>
  <w:num w:numId="30" w16cid:durableId="977228878">
    <w:abstractNumId w:val="27"/>
  </w:num>
  <w:num w:numId="31" w16cid:durableId="883716038">
    <w:abstractNumId w:val="25"/>
  </w:num>
  <w:num w:numId="32" w16cid:durableId="21443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2775553">
    <w:abstractNumId w:val="1"/>
  </w:num>
  <w:num w:numId="34" w16cid:durableId="7294271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5943122">
    <w:abstractNumId w:val="0"/>
  </w:num>
  <w:num w:numId="36" w16cid:durableId="1093673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5NzliMTUwMjYzMjZlM2JlMWRlZGIyYTdmZGIzNDUifQ=="/>
  </w:docVars>
  <w:rsids>
    <w:rsidRoot w:val="001A2D45"/>
    <w:rsid w:val="EFE90326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16FA0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0F30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1A7F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050CE"/>
    <w:rsid w:val="001128C1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465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2D45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6E49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53DE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412F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1B10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047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3FC8"/>
    <w:rsid w:val="004746B1"/>
    <w:rsid w:val="0047583F"/>
    <w:rsid w:val="00475DE8"/>
    <w:rsid w:val="004760BB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A7E4F"/>
    <w:rsid w:val="004B0272"/>
    <w:rsid w:val="004B2701"/>
    <w:rsid w:val="004B2E1B"/>
    <w:rsid w:val="004B3AA8"/>
    <w:rsid w:val="004B3E93"/>
    <w:rsid w:val="004C1DDE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1604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1343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3021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2C9F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0DBA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55C8"/>
    <w:rsid w:val="007D6518"/>
    <w:rsid w:val="007D76BD"/>
    <w:rsid w:val="007E0BF1"/>
    <w:rsid w:val="007F0ED8"/>
    <w:rsid w:val="007F0F63"/>
    <w:rsid w:val="007F75CE"/>
    <w:rsid w:val="008013A4"/>
    <w:rsid w:val="008027CE"/>
    <w:rsid w:val="00802914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1EC3"/>
    <w:rsid w:val="008E2319"/>
    <w:rsid w:val="008E4BB6"/>
    <w:rsid w:val="008E5518"/>
    <w:rsid w:val="008E6A84"/>
    <w:rsid w:val="008F07F8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37F8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14DD"/>
    <w:rsid w:val="009A21CD"/>
    <w:rsid w:val="009A278C"/>
    <w:rsid w:val="009A2BC2"/>
    <w:rsid w:val="009A42C1"/>
    <w:rsid w:val="009A5429"/>
    <w:rsid w:val="009A72AD"/>
    <w:rsid w:val="009A78D7"/>
    <w:rsid w:val="009B09E0"/>
    <w:rsid w:val="009B0BC5"/>
    <w:rsid w:val="009B1247"/>
    <w:rsid w:val="009B46F9"/>
    <w:rsid w:val="009B6029"/>
    <w:rsid w:val="009B6971"/>
    <w:rsid w:val="009C0305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0235"/>
    <w:rsid w:val="00A9295B"/>
    <w:rsid w:val="00A93B09"/>
    <w:rsid w:val="00A94247"/>
    <w:rsid w:val="00A952D7"/>
    <w:rsid w:val="00A963F7"/>
    <w:rsid w:val="00A96AD8"/>
    <w:rsid w:val="00A96C0F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5B58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82B"/>
    <w:rsid w:val="00B54ABC"/>
    <w:rsid w:val="00B54DDE"/>
    <w:rsid w:val="00B55F56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F8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70F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19D4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406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A50"/>
    <w:rsid w:val="00DF5F11"/>
    <w:rsid w:val="00E01138"/>
    <w:rsid w:val="00E01345"/>
    <w:rsid w:val="00E02DFB"/>
    <w:rsid w:val="00E030F9"/>
    <w:rsid w:val="00E0311A"/>
    <w:rsid w:val="00E03138"/>
    <w:rsid w:val="00E06404"/>
    <w:rsid w:val="00E065D2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A0F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6AE"/>
    <w:rsid w:val="00F26B7E"/>
    <w:rsid w:val="00F27A3B"/>
    <w:rsid w:val="00F32205"/>
    <w:rsid w:val="00F33817"/>
    <w:rsid w:val="00F410E8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2B4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37C0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7BC14AF"/>
    <w:rsid w:val="08BD680C"/>
    <w:rsid w:val="11EF3822"/>
    <w:rsid w:val="121969D2"/>
    <w:rsid w:val="12B54D9E"/>
    <w:rsid w:val="158B4D39"/>
    <w:rsid w:val="1C461BF2"/>
    <w:rsid w:val="227E692E"/>
    <w:rsid w:val="22AC509B"/>
    <w:rsid w:val="24F4159F"/>
    <w:rsid w:val="25DE4ACF"/>
    <w:rsid w:val="26CD5C39"/>
    <w:rsid w:val="2C4E51A7"/>
    <w:rsid w:val="2E4A30EF"/>
    <w:rsid w:val="31B20721"/>
    <w:rsid w:val="33E12424"/>
    <w:rsid w:val="361B7552"/>
    <w:rsid w:val="433E6C24"/>
    <w:rsid w:val="43850FCF"/>
    <w:rsid w:val="44317AC4"/>
    <w:rsid w:val="494C19A2"/>
    <w:rsid w:val="4A0D439E"/>
    <w:rsid w:val="4ADD4C39"/>
    <w:rsid w:val="4B0343AD"/>
    <w:rsid w:val="4B9232D9"/>
    <w:rsid w:val="4D4F02E2"/>
    <w:rsid w:val="4E3D3EB9"/>
    <w:rsid w:val="52DB7D46"/>
    <w:rsid w:val="543019BE"/>
    <w:rsid w:val="558451B6"/>
    <w:rsid w:val="56046F76"/>
    <w:rsid w:val="5ABC5CEE"/>
    <w:rsid w:val="5B7A5ECE"/>
    <w:rsid w:val="5F8A1363"/>
    <w:rsid w:val="5F8F59DB"/>
    <w:rsid w:val="63EF52FD"/>
    <w:rsid w:val="682E257A"/>
    <w:rsid w:val="69BD2E65"/>
    <w:rsid w:val="6C1B3E73"/>
    <w:rsid w:val="6F4A162C"/>
    <w:rsid w:val="71932861"/>
    <w:rsid w:val="7195414C"/>
    <w:rsid w:val="72E42E23"/>
    <w:rsid w:val="733A0331"/>
    <w:rsid w:val="75054CD1"/>
    <w:rsid w:val="751A48B0"/>
    <w:rsid w:val="765E0947"/>
    <w:rsid w:val="779F5F18"/>
    <w:rsid w:val="7A7246A4"/>
    <w:rsid w:val="7AFDA87D"/>
    <w:rsid w:val="7B186B6D"/>
    <w:rsid w:val="7BC04950"/>
    <w:rsid w:val="7C8A627E"/>
    <w:rsid w:val="7D5A5B1D"/>
    <w:rsid w:val="7F32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19811D"/>
  <w15:docId w15:val="{7C3BF655-2833-47CA-B0CF-B6CB8098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semiHidden="1" w:uiPriority="0" w:unhideWhenUsed="1"/>
    <w:lsdException w:name="toc 9" w:semiHidden="1" w:uiPriority="0" w:unhideWhenUsed="1"/>
    <w:lsdException w:name="Normal Indent" w:uiPriority="0" w:qFormat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f6">
    <w:name w:val="Normal"/>
    <w:autoRedefine/>
    <w:qFormat/>
    <w:pPr>
      <w:widowControl w:val="0"/>
      <w:adjustRightInd w:val="0"/>
      <w:spacing w:line="400" w:lineRule="exact"/>
      <w:jc w:val="both"/>
    </w:pPr>
    <w:rPr>
      <w:kern w:val="2"/>
      <w:sz w:val="21"/>
      <w:szCs w:val="21"/>
    </w:rPr>
  </w:style>
  <w:style w:type="paragraph" w:styleId="1">
    <w:name w:val="heading 1"/>
    <w:basedOn w:val="afff6"/>
    <w:next w:val="afff6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6"/>
    <w:next w:val="afff6"/>
    <w:link w:val="23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6"/>
    <w:next w:val="afff6"/>
    <w:link w:val="30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6"/>
    <w:next w:val="afff6"/>
    <w:link w:val="40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6"/>
    <w:next w:val="afff6"/>
    <w:link w:val="50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6"/>
    <w:next w:val="afff6"/>
    <w:link w:val="60"/>
    <w:autoRedefine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6"/>
    <w:next w:val="afff6"/>
    <w:link w:val="70"/>
    <w:autoRedefine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6"/>
    <w:next w:val="afff6"/>
    <w:link w:val="80"/>
    <w:autoRedefine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6"/>
    <w:next w:val="afff6"/>
    <w:link w:val="90"/>
    <w:autoRedefine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7">
    <w:name w:val="Default Paragraph Font"/>
    <w:uiPriority w:val="1"/>
    <w:semiHidden/>
    <w:unhideWhenUsed/>
  </w:style>
  <w:style w:type="table" w:default="1" w:styleId="afff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9">
    <w:name w:val="No List"/>
    <w:uiPriority w:val="99"/>
    <w:semiHidden/>
    <w:unhideWhenUsed/>
  </w:style>
  <w:style w:type="paragraph" w:styleId="TOC7">
    <w:name w:val="toc 7"/>
    <w:basedOn w:val="afff6"/>
    <w:next w:val="afff6"/>
    <w:autoRedefine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a">
    <w:name w:val="Normal Indent"/>
    <w:basedOn w:val="afff6"/>
    <w:autoRedefine/>
    <w:qFormat/>
    <w:pPr>
      <w:ind w:firstLine="420"/>
    </w:pPr>
  </w:style>
  <w:style w:type="paragraph" w:styleId="afffb">
    <w:name w:val="annotation text"/>
    <w:basedOn w:val="afff6"/>
    <w:autoRedefine/>
    <w:uiPriority w:val="99"/>
    <w:semiHidden/>
    <w:unhideWhenUsed/>
    <w:qFormat/>
    <w:pPr>
      <w:jc w:val="left"/>
    </w:pPr>
  </w:style>
  <w:style w:type="paragraph" w:styleId="afffc">
    <w:name w:val="Body Text"/>
    <w:basedOn w:val="afff6"/>
    <w:link w:val="afffd"/>
    <w:autoRedefine/>
    <w:qFormat/>
    <w:pPr>
      <w:spacing w:after="120"/>
    </w:pPr>
  </w:style>
  <w:style w:type="paragraph" w:styleId="TOC5">
    <w:name w:val="toc 5"/>
    <w:basedOn w:val="afff6"/>
    <w:next w:val="afff6"/>
    <w:autoRedefine/>
    <w:uiPriority w:val="39"/>
    <w:unhideWhenUsed/>
    <w:qFormat/>
    <w:pPr>
      <w:ind w:left="839"/>
    </w:pPr>
    <w:rPr>
      <w:rFonts w:ascii="宋体"/>
    </w:rPr>
  </w:style>
  <w:style w:type="paragraph" w:styleId="TOC3">
    <w:name w:val="toc 3"/>
    <w:basedOn w:val="afff6"/>
    <w:next w:val="afff6"/>
    <w:autoRedefine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e">
    <w:name w:val="Balloon Text"/>
    <w:basedOn w:val="afff6"/>
    <w:link w:val="affff"/>
    <w:autoRedefine/>
    <w:uiPriority w:val="99"/>
    <w:semiHidden/>
    <w:unhideWhenUsed/>
    <w:qFormat/>
    <w:rPr>
      <w:sz w:val="18"/>
      <w:szCs w:val="18"/>
    </w:rPr>
  </w:style>
  <w:style w:type="paragraph" w:styleId="affff0">
    <w:name w:val="footer"/>
    <w:basedOn w:val="afff6"/>
    <w:link w:val="affff1"/>
    <w:autoRedefine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f2">
    <w:name w:val="header"/>
    <w:basedOn w:val="afff6"/>
    <w:link w:val="affff3"/>
    <w:autoRedefine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TOC1">
    <w:name w:val="toc 1"/>
    <w:basedOn w:val="afff6"/>
    <w:next w:val="afff6"/>
    <w:autoRedefine/>
    <w:uiPriority w:val="39"/>
    <w:unhideWhenUsed/>
    <w:qFormat/>
    <w:rPr>
      <w:rFonts w:ascii="宋体"/>
    </w:rPr>
  </w:style>
  <w:style w:type="paragraph" w:styleId="TOC4">
    <w:name w:val="toc 4"/>
    <w:basedOn w:val="afff6"/>
    <w:next w:val="afff6"/>
    <w:autoRedefine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f4">
    <w:name w:val="footnote text"/>
    <w:basedOn w:val="afff6"/>
    <w:next w:val="afff6"/>
    <w:link w:val="affff5"/>
    <w:autoRedefine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TOC6">
    <w:name w:val="toc 6"/>
    <w:basedOn w:val="afff6"/>
    <w:next w:val="afff6"/>
    <w:autoRedefine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6">
    <w:name w:val="table of figures"/>
    <w:basedOn w:val="afff6"/>
    <w:next w:val="afff6"/>
    <w:autoRedefine/>
    <w:semiHidden/>
    <w:qFormat/>
    <w:pPr>
      <w:adjustRightInd/>
      <w:spacing w:line="240" w:lineRule="auto"/>
      <w:jc w:val="left"/>
    </w:pPr>
    <w:rPr>
      <w:szCs w:val="24"/>
    </w:rPr>
  </w:style>
  <w:style w:type="paragraph" w:styleId="TOC2">
    <w:name w:val="toc 2"/>
    <w:basedOn w:val="afff6"/>
    <w:next w:val="afff6"/>
    <w:autoRedefine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7">
    <w:name w:val="Title"/>
    <w:basedOn w:val="afff6"/>
    <w:link w:val="affff8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9">
    <w:name w:val="Table Grid"/>
    <w:basedOn w:val="afff8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Strong"/>
    <w:autoRedefine/>
    <w:uiPriority w:val="22"/>
    <w:qFormat/>
    <w:rPr>
      <w:b/>
      <w:bCs/>
    </w:rPr>
  </w:style>
  <w:style w:type="character" w:styleId="affffb">
    <w:name w:val="page number"/>
    <w:autoRedefine/>
    <w:qFormat/>
    <w:rPr>
      <w:rFonts w:ascii="宋体" w:eastAsia="宋体" w:hAnsi="Times New Roman"/>
      <w:sz w:val="18"/>
    </w:rPr>
  </w:style>
  <w:style w:type="character" w:styleId="affffc">
    <w:name w:val="Emphasis"/>
    <w:autoRedefine/>
    <w:uiPriority w:val="20"/>
    <w:qFormat/>
    <w:rPr>
      <w:i/>
      <w:iCs/>
    </w:rPr>
  </w:style>
  <w:style w:type="character" w:styleId="affffd">
    <w:name w:val="Hyperlink"/>
    <w:autoRedefine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e">
    <w:name w:val="footnote reference"/>
    <w:autoRedefine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0">
    <w:name w:val="标题 1 字符"/>
    <w:link w:val="1"/>
    <w:autoRedefine/>
    <w:qFormat/>
    <w:rPr>
      <w:b/>
      <w:bCs/>
      <w:kern w:val="44"/>
      <w:sz w:val="44"/>
      <w:szCs w:val="44"/>
    </w:rPr>
  </w:style>
  <w:style w:type="character" w:customStyle="1" w:styleId="23">
    <w:name w:val="标题 2 字符"/>
    <w:link w:val="22"/>
    <w:autoRedefine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autoRedefine/>
    <w:qFormat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link w:val="5"/>
    <w:autoRedefine/>
    <w:qFormat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autoRedefine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link w:val="7"/>
    <w:autoRedefine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autoRedefine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link w:val="9"/>
    <w:autoRedefine/>
    <w:qFormat/>
    <w:rPr>
      <w:rFonts w:ascii="Arial" w:eastAsia="黑体" w:hAnsi="Arial"/>
      <w:kern w:val="2"/>
      <w:sz w:val="21"/>
      <w:szCs w:val="21"/>
    </w:rPr>
  </w:style>
  <w:style w:type="character" w:customStyle="1" w:styleId="affff3">
    <w:name w:val="页眉 字符"/>
    <w:link w:val="affff2"/>
    <w:autoRedefine/>
    <w:uiPriority w:val="99"/>
    <w:qFormat/>
    <w:rPr>
      <w:kern w:val="2"/>
      <w:sz w:val="18"/>
      <w:szCs w:val="18"/>
    </w:rPr>
  </w:style>
  <w:style w:type="character" w:customStyle="1" w:styleId="affff1">
    <w:name w:val="页脚 字符"/>
    <w:link w:val="affff0"/>
    <w:autoRedefine/>
    <w:uiPriority w:val="99"/>
    <w:qFormat/>
    <w:rPr>
      <w:rFonts w:ascii="宋体"/>
      <w:kern w:val="2"/>
      <w:sz w:val="18"/>
      <w:szCs w:val="18"/>
    </w:rPr>
  </w:style>
  <w:style w:type="character" w:customStyle="1" w:styleId="affff">
    <w:name w:val="批注框文本 字符"/>
    <w:link w:val="afffe"/>
    <w:autoRedefine/>
    <w:uiPriority w:val="99"/>
    <w:semiHidden/>
    <w:qFormat/>
    <w:rPr>
      <w:kern w:val="2"/>
      <w:sz w:val="18"/>
      <w:szCs w:val="18"/>
    </w:rPr>
  </w:style>
  <w:style w:type="paragraph" w:styleId="afffff">
    <w:name w:val="Quote"/>
    <w:basedOn w:val="afff6"/>
    <w:next w:val="afff6"/>
    <w:link w:val="afffff0"/>
    <w:autoRedefine/>
    <w:uiPriority w:val="29"/>
    <w:qFormat/>
    <w:rPr>
      <w:i/>
      <w:iCs/>
      <w:color w:val="000000"/>
    </w:rPr>
  </w:style>
  <w:style w:type="character" w:customStyle="1" w:styleId="afffff0">
    <w:name w:val="引用 字符"/>
    <w:link w:val="afffff"/>
    <w:autoRedefine/>
    <w:uiPriority w:val="29"/>
    <w:qFormat/>
    <w:rPr>
      <w:i/>
      <w:iCs/>
      <w:color w:val="000000"/>
      <w:kern w:val="2"/>
      <w:sz w:val="21"/>
      <w:szCs w:val="21"/>
    </w:rPr>
  </w:style>
  <w:style w:type="character" w:customStyle="1" w:styleId="affff8">
    <w:name w:val="标题 字符"/>
    <w:link w:val="affff7"/>
    <w:autoRedefine/>
    <w:qFormat/>
    <w:rPr>
      <w:rFonts w:ascii="Arial" w:hAnsi="Arial" w:cs="Arial"/>
      <w:b/>
      <w:bCs/>
      <w:kern w:val="2"/>
      <w:sz w:val="32"/>
      <w:szCs w:val="32"/>
    </w:rPr>
  </w:style>
  <w:style w:type="paragraph" w:customStyle="1" w:styleId="afffff1">
    <w:name w:val="标准标志"/>
    <w:next w:val="afff6"/>
    <w:autoRedefine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ff2">
    <w:name w:val="标准称谓"/>
    <w:next w:val="afff6"/>
    <w:autoRedefine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w w:val="148"/>
      <w:sz w:val="52"/>
    </w:rPr>
  </w:style>
  <w:style w:type="paragraph" w:customStyle="1" w:styleId="afffff3">
    <w:name w:val="标准文件_页脚偶数页"/>
    <w:autoRedefine/>
    <w:qFormat/>
    <w:pPr>
      <w:ind w:left="198"/>
    </w:pPr>
    <w:rPr>
      <w:rFonts w:ascii="宋体" w:hAnsi="Times New Roman"/>
      <w:sz w:val="18"/>
    </w:rPr>
  </w:style>
  <w:style w:type="paragraph" w:customStyle="1" w:styleId="afffff4">
    <w:name w:val="标准文件_页脚奇数页"/>
    <w:autoRedefine/>
    <w:qFormat/>
    <w:pPr>
      <w:ind w:right="227"/>
      <w:jc w:val="right"/>
    </w:pPr>
    <w:rPr>
      <w:rFonts w:ascii="宋体" w:hAnsi="Times New Roman"/>
      <w:sz w:val="18"/>
    </w:rPr>
  </w:style>
  <w:style w:type="paragraph" w:customStyle="1" w:styleId="afffff5">
    <w:name w:val="标准书眉一"/>
    <w:autoRedefine/>
    <w:qFormat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6"/>
    <w:autoRedefine/>
    <w:qFormat/>
    <w:pPr>
      <w:spacing w:line="0" w:lineRule="atLeast"/>
    </w:pPr>
    <w:rPr>
      <w:rFonts w:ascii="黑体" w:eastAsia="黑体" w:hAnsi="宋体"/>
    </w:rPr>
  </w:style>
  <w:style w:type="paragraph" w:customStyle="1" w:styleId="afffff6">
    <w:name w:val="标准文件_标准正文"/>
    <w:basedOn w:val="afff6"/>
    <w:next w:val="afffff7"/>
    <w:autoRedefine/>
    <w:qFormat/>
    <w:pPr>
      <w:snapToGrid w:val="0"/>
      <w:ind w:firstLineChars="200" w:firstLine="200"/>
    </w:pPr>
    <w:rPr>
      <w:kern w:val="0"/>
    </w:rPr>
  </w:style>
  <w:style w:type="paragraph" w:customStyle="1" w:styleId="afffff7">
    <w:name w:val="标准文件_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ffff8">
    <w:name w:val="标准文件_版本"/>
    <w:basedOn w:val="afffff6"/>
    <w:autoRedefine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9">
    <w:name w:val="标准文件_标准部门"/>
    <w:basedOn w:val="afff6"/>
    <w:autoRedefine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a">
    <w:name w:val="标准文件_标准代替"/>
    <w:basedOn w:val="afff6"/>
    <w:next w:val="afff6"/>
    <w:autoRedefine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b">
    <w:name w:val="标准文件_标准名称标题"/>
    <w:basedOn w:val="afff6"/>
    <w:next w:val="afff6"/>
    <w:autoRedefine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c">
    <w:name w:val="标准文件_页眉奇数页"/>
    <w:next w:val="afff6"/>
    <w:autoRedefine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d">
    <w:name w:val="标准文件_页眉偶数页"/>
    <w:basedOn w:val="afffffc"/>
    <w:next w:val="afff6"/>
    <w:autoRedefine/>
    <w:qFormat/>
    <w:pPr>
      <w:jc w:val="left"/>
    </w:pPr>
  </w:style>
  <w:style w:type="paragraph" w:customStyle="1" w:styleId="afffffe">
    <w:name w:val="标准文件_参考文献标题"/>
    <w:basedOn w:val="afff6"/>
    <w:next w:val="afff6"/>
    <w:autoRedefine/>
    <w:qFormat/>
    <w:pPr>
      <w:widowControl/>
      <w:shd w:val="clear" w:color="FFFFFF" w:fill="FFFFFF"/>
      <w:adjustRightInd/>
      <w:spacing w:before="58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autoRedefine/>
    <w:qFormat/>
    <w:pPr>
      <w:numPr>
        <w:numId w:val="1"/>
      </w:numPr>
    </w:pPr>
    <w:rPr>
      <w:rFonts w:ascii="宋体" w:hAnsi="Times New Roman"/>
    </w:rPr>
  </w:style>
  <w:style w:type="paragraph" w:customStyle="1" w:styleId="afff">
    <w:name w:val="标准文件_二级条标题"/>
    <w:next w:val="afffff7"/>
    <w:autoRedefine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 w:hAnsi="Times New Roman"/>
      <w:sz w:val="21"/>
    </w:rPr>
  </w:style>
  <w:style w:type="character" w:customStyle="1" w:styleId="affffff">
    <w:name w:val="标准文件_发布"/>
    <w:autoRedefine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7"/>
    <w:autoRedefine/>
    <w:qFormat/>
    <w:pPr>
      <w:numPr>
        <w:numId w:val="3"/>
      </w:numPr>
      <w:ind w:firstLineChars="0" w:firstLine="0"/>
    </w:pPr>
  </w:style>
  <w:style w:type="paragraph" w:customStyle="1" w:styleId="affffff0">
    <w:name w:val="标准文件_封面标准编号"/>
    <w:basedOn w:val="afff6"/>
    <w:next w:val="afffffa"/>
    <w:autoRedefine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f1">
    <w:name w:val="标准文件_封面标准分类号"/>
    <w:basedOn w:val="afff6"/>
    <w:autoRedefine/>
    <w:qFormat/>
    <w:rPr>
      <w:rFonts w:ascii="黑体" w:eastAsia="黑体"/>
      <w:b/>
      <w:kern w:val="0"/>
      <w:sz w:val="28"/>
    </w:rPr>
  </w:style>
  <w:style w:type="paragraph" w:customStyle="1" w:styleId="affffff2">
    <w:name w:val="标准文件_封面标准名称"/>
    <w:basedOn w:val="afff6"/>
    <w:autoRedefine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f3">
    <w:name w:val="标准文件_封面标准英文名称"/>
    <w:basedOn w:val="afff6"/>
    <w:autoRedefine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f4">
    <w:name w:val="标准文件_封面发布日期"/>
    <w:basedOn w:val="afff6"/>
    <w:autoRedefine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f5">
    <w:name w:val="标准文件_封面密级"/>
    <w:basedOn w:val="afff6"/>
    <w:autoRedefine/>
    <w:qFormat/>
    <w:rPr>
      <w:rFonts w:eastAsia="黑体"/>
      <w:sz w:val="32"/>
    </w:rPr>
  </w:style>
  <w:style w:type="paragraph" w:customStyle="1" w:styleId="affffff6">
    <w:name w:val="标准文件_封面实施日期"/>
    <w:basedOn w:val="afff6"/>
    <w:autoRedefine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7">
    <w:name w:val="标准文件_封面抬头"/>
    <w:basedOn w:val="afffff7"/>
    <w:autoRedefine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4">
    <w:name w:val="标准文件_附录标识"/>
    <w:next w:val="afffff7"/>
    <w:autoRedefine/>
    <w:qFormat/>
    <w:pPr>
      <w:numPr>
        <w:numId w:val="4"/>
      </w:numPr>
      <w:shd w:val="clear" w:color="FFFFFF" w:fill="FFFFFF"/>
      <w:tabs>
        <w:tab w:val="left" w:pos="6406"/>
      </w:tabs>
      <w:spacing w:before="560" w:afterLines="50" w:after="50"/>
      <w:jc w:val="center"/>
      <w:outlineLvl w:val="0"/>
    </w:pPr>
    <w:rPr>
      <w:rFonts w:ascii="黑体" w:eastAsia="黑体" w:hAnsi="Times New Roman"/>
      <w:sz w:val="21"/>
    </w:rPr>
  </w:style>
  <w:style w:type="paragraph" w:customStyle="1" w:styleId="aff0">
    <w:name w:val="标准文件_附录表标题"/>
    <w:next w:val="afffff7"/>
    <w:autoRedefine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f5">
    <w:name w:val="标准文件_附录一级条标题"/>
    <w:next w:val="afffff7"/>
    <w:autoRedefine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 w:hAnsi="Times New Roman"/>
      <w:kern w:val="21"/>
      <w:sz w:val="21"/>
    </w:rPr>
  </w:style>
  <w:style w:type="paragraph" w:customStyle="1" w:styleId="aff6">
    <w:name w:val="标准文件_附录二级条标题"/>
    <w:basedOn w:val="aff5"/>
    <w:next w:val="afffff7"/>
    <w:autoRedefine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8">
    <w:name w:val="标准文件_附录公式"/>
    <w:basedOn w:val="afffff6"/>
    <w:next w:val="afffff6"/>
    <w:autoRedefine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7">
    <w:name w:val="标准文件_附录三级条标题"/>
    <w:next w:val="afffff7"/>
    <w:autoRedefine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 w:hAnsi="Times New Roman"/>
      <w:kern w:val="21"/>
      <w:sz w:val="21"/>
    </w:rPr>
  </w:style>
  <w:style w:type="paragraph" w:customStyle="1" w:styleId="aff8">
    <w:name w:val="标准文件_附录四级条标题"/>
    <w:next w:val="afffff7"/>
    <w:autoRedefine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 w:hAnsi="Times New Roman"/>
      <w:kern w:val="21"/>
      <w:sz w:val="21"/>
    </w:rPr>
  </w:style>
  <w:style w:type="paragraph" w:customStyle="1" w:styleId="afa">
    <w:name w:val="标准文件_附录图标题"/>
    <w:next w:val="afffff7"/>
    <w:autoRedefine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9">
    <w:name w:val="标准文件_附录五级条标题"/>
    <w:next w:val="afffff7"/>
    <w:autoRedefine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 w:hAnsi="Times New Roman"/>
      <w:kern w:val="21"/>
      <w:sz w:val="21"/>
    </w:rPr>
  </w:style>
  <w:style w:type="paragraph" w:customStyle="1" w:styleId="af0">
    <w:name w:val="标准文件_附录英文标识"/>
    <w:next w:val="afffc"/>
    <w:autoRedefine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 w:hAnsi="Times New Roman"/>
      <w:sz w:val="21"/>
    </w:rPr>
  </w:style>
  <w:style w:type="character" w:customStyle="1" w:styleId="afffd">
    <w:name w:val="正文文本 字符"/>
    <w:link w:val="afffc"/>
    <w:autoRedefine/>
    <w:qFormat/>
    <w:rPr>
      <w:kern w:val="2"/>
      <w:sz w:val="21"/>
      <w:szCs w:val="21"/>
    </w:rPr>
  </w:style>
  <w:style w:type="paragraph" w:customStyle="1" w:styleId="affffff9">
    <w:name w:val="标准文件_附录章标题"/>
    <w:next w:val="afffff7"/>
    <w:autoRedefine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ffa">
    <w:name w:val="标准文件_公式后的破折号"/>
    <w:basedOn w:val="afffff7"/>
    <w:next w:val="afffff7"/>
    <w:autoRedefine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6"/>
    <w:autoRedefine/>
    <w:qFormat/>
    <w:rsid w:val="00B55F56"/>
    <w:pPr>
      <w:numPr>
        <w:numId w:val="8"/>
      </w:numPr>
      <w:shd w:val="clear" w:color="FFFFFF" w:fill="FFFFFF"/>
      <w:spacing w:before="480" w:afterLines="150" w:after="468"/>
      <w:ind w:left="0" w:firstLine="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b">
    <w:name w:val="标准文件_目次、标准名称标题"/>
    <w:basedOn w:val="a6"/>
    <w:next w:val="afffff7"/>
    <w:autoRedefine/>
    <w:qFormat/>
    <w:pPr>
      <w:spacing w:line="460" w:lineRule="exact"/>
    </w:pPr>
  </w:style>
  <w:style w:type="paragraph" w:customStyle="1" w:styleId="affffffc">
    <w:name w:val="标准文件_目录标题"/>
    <w:basedOn w:val="afff6"/>
    <w:autoRedefine/>
    <w:qFormat/>
    <w:pPr>
      <w:spacing w:before="480"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autoRedefine/>
    <w:qFormat/>
    <w:pPr>
      <w:numPr>
        <w:numId w:val="9"/>
      </w:numPr>
      <w:adjustRightInd w:val="0"/>
      <w:snapToGrid w:val="0"/>
      <w:ind w:firstLineChars="200" w:firstLine="200"/>
    </w:pPr>
    <w:rPr>
      <w:rFonts w:ascii="Times New Roman" w:hAnsi="Times New Roman"/>
      <w:sz w:val="21"/>
    </w:rPr>
  </w:style>
  <w:style w:type="paragraph" w:customStyle="1" w:styleId="afd">
    <w:name w:val="标准文件_破折号列项（二级）"/>
    <w:basedOn w:val="af1"/>
    <w:autoRedefine/>
    <w:qFormat/>
    <w:pPr>
      <w:numPr>
        <w:numId w:val="10"/>
      </w:numPr>
    </w:pPr>
  </w:style>
  <w:style w:type="paragraph" w:customStyle="1" w:styleId="afff0">
    <w:name w:val="标准文件_三级条标题"/>
    <w:basedOn w:val="afff"/>
    <w:next w:val="afffff7"/>
    <w:autoRedefine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autoRedefine/>
    <w:uiPriority w:val="31"/>
    <w:qFormat/>
    <w:rPr>
      <w:smallCaps/>
      <w:color w:val="C0504D"/>
      <w:u w:val="single"/>
    </w:rPr>
  </w:style>
  <w:style w:type="paragraph" w:customStyle="1" w:styleId="affffffd">
    <w:name w:val="标准文件_示例后续"/>
    <w:basedOn w:val="afff6"/>
    <w:autoRedefine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a">
    <w:name w:val="标准文件_数字编号列项"/>
    <w:autoRedefine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1">
    <w:name w:val="标准文件_四级条标题"/>
    <w:next w:val="afffff7"/>
    <w:autoRedefine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 w:hAnsi="Times New Roman"/>
      <w:sz w:val="21"/>
    </w:rPr>
  </w:style>
  <w:style w:type="character" w:customStyle="1" w:styleId="affff5">
    <w:name w:val="脚注文本 字符"/>
    <w:link w:val="affff4"/>
    <w:autoRedefine/>
    <w:semiHidden/>
    <w:qFormat/>
    <w:rPr>
      <w:rFonts w:ascii="宋体"/>
      <w:kern w:val="2"/>
      <w:sz w:val="18"/>
      <w:szCs w:val="18"/>
    </w:rPr>
  </w:style>
  <w:style w:type="paragraph" w:customStyle="1" w:styleId="affffffe">
    <w:name w:val="标准文件_条文脚注"/>
    <w:basedOn w:val="affff4"/>
    <w:autoRedefine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6"/>
    <w:next w:val="afffff7"/>
    <w:autoRedefine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f">
    <w:name w:val="标准文件_图表脚注内容"/>
    <w:autoRedefine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2">
    <w:name w:val="标准文件_五级条标题"/>
    <w:next w:val="afffff7"/>
    <w:autoRedefine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ffd">
    <w:name w:val="标准文件_章标题"/>
    <w:next w:val="afffff7"/>
    <w:autoRedefine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ffe">
    <w:name w:val="标准文件_一级条标题"/>
    <w:basedOn w:val="affd"/>
    <w:next w:val="afffff7"/>
    <w:autoRedefine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f0">
    <w:name w:val="标准文件_一致程度"/>
    <w:basedOn w:val="afff6"/>
    <w:autoRedefine/>
    <w:qFormat/>
    <w:pPr>
      <w:spacing w:line="440" w:lineRule="exact"/>
      <w:jc w:val="center"/>
    </w:pPr>
    <w:rPr>
      <w:sz w:val="28"/>
    </w:rPr>
  </w:style>
  <w:style w:type="paragraph" w:customStyle="1" w:styleId="afffffff1">
    <w:name w:val="标准文件_引言标题"/>
    <w:next w:val="afff6"/>
    <w:autoRedefine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f2">
    <w:name w:val="标准文件_英文图表脚注"/>
    <w:basedOn w:val="afffff6"/>
    <w:autoRedefine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7">
    <w:name w:val="标准文件_数字编号列项（二级）"/>
    <w:autoRedefine/>
    <w:qFormat/>
    <w:pPr>
      <w:numPr>
        <w:ilvl w:val="1"/>
        <w:numId w:val="13"/>
      </w:numPr>
      <w:tabs>
        <w:tab w:val="left" w:pos="851"/>
      </w:tabs>
      <w:jc w:val="both"/>
    </w:pPr>
    <w:rPr>
      <w:rFonts w:ascii="宋体" w:hAnsi="Times New Roman"/>
      <w:sz w:val="21"/>
    </w:rPr>
  </w:style>
  <w:style w:type="paragraph" w:customStyle="1" w:styleId="af">
    <w:name w:val="标准文件_英文注："/>
    <w:basedOn w:val="afff6"/>
    <w:next w:val="afffff7"/>
    <w:autoRedefine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1">
    <w:name w:val="标准文件_英文注×："/>
    <w:basedOn w:val="afff6"/>
    <w:autoRedefine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3">
    <w:name w:val="标准文件_正文表标题"/>
    <w:next w:val="afffff7"/>
    <w:autoRedefine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fffff3">
    <w:name w:val="标准文件_正文公式"/>
    <w:basedOn w:val="afff6"/>
    <w:next w:val="afffff6"/>
    <w:autoRedefine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e">
    <w:name w:val="标准文件_正文图标题"/>
    <w:next w:val="afffff7"/>
    <w:autoRedefine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f4">
    <w:name w:val="标准文件_正文英文表标题"/>
    <w:next w:val="afffff7"/>
    <w:autoRedefine/>
    <w:qFormat/>
    <w:pPr>
      <w:numPr>
        <w:numId w:val="18"/>
      </w:numPr>
      <w:jc w:val="center"/>
    </w:pPr>
    <w:rPr>
      <w:rFonts w:ascii="黑体" w:eastAsia="黑体" w:hAnsi="Times New Roman"/>
      <w:sz w:val="21"/>
    </w:rPr>
  </w:style>
  <w:style w:type="paragraph" w:customStyle="1" w:styleId="afc">
    <w:name w:val="标准文件_正文英文图标题"/>
    <w:next w:val="afffff7"/>
    <w:autoRedefine/>
    <w:qFormat/>
    <w:pPr>
      <w:numPr>
        <w:numId w:val="19"/>
      </w:numPr>
      <w:jc w:val="center"/>
    </w:pPr>
    <w:rPr>
      <w:rFonts w:ascii="黑体" w:eastAsia="黑体" w:hAnsi="Times New Roman"/>
      <w:sz w:val="21"/>
    </w:rPr>
  </w:style>
  <w:style w:type="paragraph" w:customStyle="1" w:styleId="af8">
    <w:name w:val="标准文件_编号列项（三级）"/>
    <w:autoRedefine/>
    <w:qFormat/>
    <w:pPr>
      <w:numPr>
        <w:ilvl w:val="2"/>
        <w:numId w:val="13"/>
      </w:numPr>
      <w:tabs>
        <w:tab w:val="left" w:pos="851"/>
      </w:tabs>
    </w:pPr>
    <w:rPr>
      <w:rFonts w:ascii="宋体" w:hAnsi="Times New Roman"/>
      <w:sz w:val="21"/>
    </w:rPr>
  </w:style>
  <w:style w:type="paragraph" w:customStyle="1" w:styleId="a1">
    <w:name w:val="二级无标题条"/>
    <w:basedOn w:val="afff6"/>
    <w:autoRedefine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4">
    <w:name w:val="发布部门"/>
    <w:next w:val="afffff7"/>
    <w:autoRedefine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w w:val="135"/>
      <w:sz w:val="36"/>
    </w:rPr>
  </w:style>
  <w:style w:type="paragraph" w:customStyle="1" w:styleId="afffffff5">
    <w:name w:val="发布日期"/>
    <w:autoRedefine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ff6">
    <w:name w:val="封面标准代替信息"/>
    <w:basedOn w:val="afff6"/>
    <w:autoRedefine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7">
    <w:name w:val="封面标准名称"/>
    <w:autoRedefine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fff8">
    <w:name w:val="封面标准文稿编辑信息"/>
    <w:autoRedefine/>
    <w:qFormat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fffff9">
    <w:name w:val="封面标准文稿类别"/>
    <w:autoRedefine/>
    <w:qFormat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fffffa">
    <w:name w:val="封面标准英文名称"/>
    <w:autoRedefine/>
    <w:qFormat/>
    <w:pPr>
      <w:widowControl w:val="0"/>
      <w:spacing w:line="360" w:lineRule="exact"/>
      <w:jc w:val="center"/>
    </w:pPr>
    <w:rPr>
      <w:rFonts w:ascii="Times New Roman" w:hAnsi="Times New Roman"/>
      <w:sz w:val="28"/>
    </w:rPr>
  </w:style>
  <w:style w:type="paragraph" w:customStyle="1" w:styleId="afffffffb">
    <w:name w:val="封面一致性程度标识"/>
    <w:autoRedefine/>
    <w:qFormat/>
    <w:pPr>
      <w:spacing w:before="440" w:line="440" w:lineRule="exact"/>
      <w:jc w:val="center"/>
    </w:pPr>
    <w:rPr>
      <w:rFonts w:ascii="Times New Roman" w:hAnsi="Times New Roman"/>
      <w:sz w:val="28"/>
    </w:rPr>
  </w:style>
  <w:style w:type="paragraph" w:customStyle="1" w:styleId="afffffffc">
    <w:name w:val="封面正文"/>
    <w:autoRedefine/>
    <w:qFormat/>
    <w:pPr>
      <w:jc w:val="both"/>
    </w:pPr>
    <w:rPr>
      <w:rFonts w:ascii="Times New Roman" w:hAnsi="Times New Roman"/>
    </w:rPr>
  </w:style>
  <w:style w:type="paragraph" w:customStyle="1" w:styleId="afffffffd">
    <w:name w:val="附录二级无标题条"/>
    <w:basedOn w:val="afff6"/>
    <w:next w:val="afffff7"/>
    <w:autoRedefine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e">
    <w:name w:val="附录三级无标题条"/>
    <w:basedOn w:val="afffffffd"/>
    <w:next w:val="afffff7"/>
    <w:autoRedefine/>
    <w:qFormat/>
    <w:pPr>
      <w:outlineLvl w:val="4"/>
    </w:pPr>
  </w:style>
  <w:style w:type="paragraph" w:customStyle="1" w:styleId="affffffff">
    <w:name w:val="附录四级无标题条"/>
    <w:basedOn w:val="afffffffe"/>
    <w:next w:val="afffff7"/>
    <w:autoRedefine/>
    <w:qFormat/>
    <w:pPr>
      <w:outlineLvl w:val="5"/>
    </w:pPr>
  </w:style>
  <w:style w:type="paragraph" w:customStyle="1" w:styleId="affffffff0">
    <w:name w:val="附录图"/>
    <w:next w:val="afffff7"/>
    <w:autoRedefine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2">
    <w:name w:val="标准文件_一级项"/>
    <w:autoRedefine/>
    <w:qFormat/>
    <w:pPr>
      <w:numPr>
        <w:numId w:val="21"/>
      </w:numPr>
    </w:pPr>
    <w:rPr>
      <w:rFonts w:ascii="宋体" w:hAnsi="Times New Roman"/>
      <w:sz w:val="21"/>
    </w:rPr>
  </w:style>
  <w:style w:type="paragraph" w:customStyle="1" w:styleId="affffffff1">
    <w:name w:val="附录五级无标题条"/>
    <w:basedOn w:val="affffffff"/>
    <w:next w:val="afffff7"/>
    <w:autoRedefine/>
    <w:qFormat/>
    <w:pPr>
      <w:outlineLvl w:val="6"/>
    </w:pPr>
  </w:style>
  <w:style w:type="paragraph" w:customStyle="1" w:styleId="affffffff2">
    <w:name w:val="附录性质"/>
    <w:basedOn w:val="afff6"/>
    <w:autoRedefine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f3">
    <w:name w:val="附录一级无标题条"/>
    <w:basedOn w:val="affffff9"/>
    <w:next w:val="afffff7"/>
    <w:autoRedefine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f4">
    <w:name w:val="个人答复风格"/>
    <w:autoRedefine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f5">
    <w:name w:val="个人撰写风格"/>
    <w:autoRedefine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f6">
    <w:name w:val="脚注后续"/>
    <w:autoRedefine/>
    <w:qFormat/>
    <w:pPr>
      <w:ind w:leftChars="350" w:left="350"/>
      <w:jc w:val="both"/>
    </w:pPr>
    <w:rPr>
      <w:rFonts w:ascii="宋体" w:hAnsi="Times New Roman"/>
      <w:sz w:val="18"/>
    </w:rPr>
  </w:style>
  <w:style w:type="paragraph" w:customStyle="1" w:styleId="afff5">
    <w:name w:val="列项——"/>
    <w:autoRedefine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7">
    <w:name w:val="列项·"/>
    <w:basedOn w:val="afffff7"/>
    <w:autoRedefine/>
    <w:qFormat/>
    <w:pPr>
      <w:tabs>
        <w:tab w:val="left" w:pos="840"/>
      </w:tabs>
    </w:pPr>
  </w:style>
  <w:style w:type="paragraph" w:customStyle="1" w:styleId="affffffff8">
    <w:name w:val="目次、索引正文"/>
    <w:autoRedefine/>
    <w:qFormat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210">
    <w:name w:val="目录 21"/>
    <w:basedOn w:val="afff6"/>
    <w:next w:val="afff6"/>
    <w:autoRedefine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6"/>
    <w:next w:val="afff6"/>
    <w:autoRedefine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6"/>
    <w:next w:val="afff6"/>
    <w:autoRedefine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6"/>
    <w:next w:val="afff6"/>
    <w:autoRedefine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6"/>
    <w:next w:val="afff6"/>
    <w:autoRedefine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autoRedefine/>
    <w:semiHidden/>
    <w:qFormat/>
    <w:pPr>
      <w:ind w:left="1260"/>
    </w:pPr>
  </w:style>
  <w:style w:type="paragraph" w:customStyle="1" w:styleId="81">
    <w:name w:val="目录 81"/>
    <w:basedOn w:val="71"/>
    <w:autoRedefine/>
    <w:semiHidden/>
    <w:qFormat/>
    <w:pPr>
      <w:ind w:left="1470"/>
    </w:pPr>
  </w:style>
  <w:style w:type="paragraph" w:customStyle="1" w:styleId="91">
    <w:name w:val="目录 91"/>
    <w:basedOn w:val="81"/>
    <w:autoRedefine/>
    <w:semiHidden/>
    <w:qFormat/>
    <w:pPr>
      <w:ind w:left="1680"/>
    </w:pPr>
  </w:style>
  <w:style w:type="paragraph" w:customStyle="1" w:styleId="affffffff9">
    <w:name w:val="其他标准称谓"/>
    <w:autoRedefine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a">
    <w:name w:val="其他发布部门"/>
    <w:basedOn w:val="afffffff4"/>
    <w:autoRedefine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c">
    <w:name w:val="前言标题"/>
    <w:next w:val="afff6"/>
    <w:autoRedefine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2">
    <w:name w:val="三级无标题条"/>
    <w:basedOn w:val="afff6"/>
    <w:autoRedefine/>
    <w:qFormat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b">
    <w:name w:val="实施日期"/>
    <w:basedOn w:val="afffffff5"/>
    <w:autoRedefine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6"/>
    <w:autoRedefine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c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paragraph" w:customStyle="1" w:styleId="affffffffd">
    <w:name w:val="无标题条"/>
    <w:next w:val="afffff7"/>
    <w:autoRedefine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6"/>
    <w:autoRedefine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6"/>
    <w:autoRedefine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e">
    <w:name w:val="注:后续"/>
    <w:autoRedefine/>
    <w:qFormat/>
    <w:pPr>
      <w:spacing w:line="300" w:lineRule="exact"/>
      <w:ind w:leftChars="400" w:left="600" w:hangingChars="200" w:hanging="200"/>
      <w:jc w:val="both"/>
    </w:pPr>
    <w:rPr>
      <w:rFonts w:ascii="宋体" w:hAnsi="Times New Roman"/>
      <w:sz w:val="18"/>
    </w:rPr>
  </w:style>
  <w:style w:type="paragraph" w:customStyle="1" w:styleId="afffffffff">
    <w:name w:val="注×:后续"/>
    <w:basedOn w:val="affffffffe"/>
    <w:autoRedefine/>
    <w:qFormat/>
    <w:pPr>
      <w:ind w:leftChars="0" w:left="1406" w:firstLineChars="0" w:hanging="499"/>
    </w:pPr>
  </w:style>
  <w:style w:type="paragraph" w:customStyle="1" w:styleId="afffffffff0">
    <w:name w:val="标准文件_一级无标题"/>
    <w:basedOn w:val="affe"/>
    <w:autoRedefine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1">
    <w:name w:val="标准文件_五级无标题"/>
    <w:basedOn w:val="afff2"/>
    <w:autoRedefine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2">
    <w:name w:val="标准文件_三级无标题"/>
    <w:basedOn w:val="afff0"/>
    <w:autoRedefine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3">
    <w:name w:val="标准文件_二级无标题"/>
    <w:basedOn w:val="afff"/>
    <w:autoRedefine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4">
    <w:name w:val="标准_四级无标题"/>
    <w:basedOn w:val="afff1"/>
    <w:next w:val="afffff7"/>
    <w:autoRedefine/>
    <w:qFormat/>
    <w:rPr>
      <w:rFonts w:eastAsia="宋体"/>
    </w:rPr>
  </w:style>
  <w:style w:type="paragraph" w:customStyle="1" w:styleId="afffffffff5">
    <w:name w:val="标准文件_四级无标题"/>
    <w:basedOn w:val="afff1"/>
    <w:autoRedefine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2">
    <w:name w:val="标准文件_大写罗马数字编号列项"/>
    <w:basedOn w:val="afffff7"/>
    <w:autoRedefine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7"/>
    <w:autoRedefine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f6">
    <w:name w:val="标准文件_附录标题"/>
    <w:basedOn w:val="aff4"/>
    <w:autoRedefine/>
    <w:qFormat/>
    <w:pPr>
      <w:numPr>
        <w:numId w:val="0"/>
      </w:numPr>
      <w:spacing w:after="280"/>
      <w:outlineLvl w:val="9"/>
    </w:pPr>
  </w:style>
  <w:style w:type="paragraph" w:customStyle="1" w:styleId="afffffffff7">
    <w:name w:val="标准文件_二级项"/>
    <w:autoRedefine/>
    <w:qFormat/>
    <w:rPr>
      <w:rFonts w:ascii="宋体" w:hAnsi="Times New Roman"/>
      <w:sz w:val="21"/>
    </w:rPr>
  </w:style>
  <w:style w:type="paragraph" w:customStyle="1" w:styleId="af3">
    <w:name w:val="标准文件_三级项"/>
    <w:basedOn w:val="afff6"/>
    <w:autoRedefine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b">
    <w:name w:val="图表脚注说明"/>
    <w:basedOn w:val="afff6"/>
    <w:next w:val="afffff7"/>
    <w:autoRedefine/>
    <w:qFormat/>
    <w:pPr>
      <w:numPr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af6">
    <w:name w:val="标准文件_字母编号列项（一级）"/>
    <w:autoRedefine/>
    <w:qFormat/>
    <w:pPr>
      <w:numPr>
        <w:numId w:val="13"/>
      </w:numPr>
      <w:jc w:val="both"/>
    </w:pPr>
    <w:rPr>
      <w:rFonts w:ascii="宋体" w:hAnsi="Times New Roman"/>
      <w:sz w:val="21"/>
    </w:rPr>
  </w:style>
  <w:style w:type="paragraph" w:customStyle="1" w:styleId="afffffffff8">
    <w:name w:val="标准文件_索引字母"/>
    <w:next w:val="afffff7"/>
    <w:autoRedefine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9">
    <w:name w:val="标准文件_附录前"/>
    <w:next w:val="afffff7"/>
    <w:autoRedefine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a">
    <w:name w:val="标准文件_正文标准名称"/>
    <w:autoRedefine/>
    <w:qFormat/>
    <w:pPr>
      <w:spacing w:before="56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b">
    <w:name w:val="标准文件_表格"/>
    <w:basedOn w:val="afffff7"/>
    <w:autoRedefine/>
    <w:qFormat/>
    <w:pPr>
      <w:ind w:firstLineChars="0" w:firstLine="0"/>
      <w:jc w:val="center"/>
    </w:pPr>
    <w:rPr>
      <w:sz w:val="18"/>
    </w:rPr>
  </w:style>
  <w:style w:type="paragraph" w:customStyle="1" w:styleId="afff3">
    <w:name w:val="标准文件_注："/>
    <w:next w:val="afffff7"/>
    <w:autoRedefine/>
    <w:qFormat/>
    <w:pPr>
      <w:widowControl w:val="0"/>
      <w:numPr>
        <w:numId w:val="26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5">
    <w:name w:val="标准文件_注×："/>
    <w:autoRedefine/>
    <w:qFormat/>
    <w:pPr>
      <w:widowControl w:val="0"/>
      <w:numPr>
        <w:numId w:val="27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c">
    <w:name w:val="标准文件_示例："/>
    <w:next w:val="afffffffffc"/>
    <w:autoRedefine/>
    <w:qFormat/>
    <w:pPr>
      <w:widowControl w:val="0"/>
      <w:numPr>
        <w:numId w:val="28"/>
      </w:numPr>
      <w:jc w:val="both"/>
    </w:pPr>
    <w:rPr>
      <w:rFonts w:ascii="宋体" w:hAnsi="Times New Roman"/>
      <w:sz w:val="18"/>
      <w:szCs w:val="18"/>
    </w:rPr>
  </w:style>
  <w:style w:type="paragraph" w:customStyle="1" w:styleId="afffffffffc">
    <w:name w:val="标准文件_示例内容"/>
    <w:basedOn w:val="afffff7"/>
    <w:autoRedefine/>
    <w:qFormat/>
    <w:pPr>
      <w:ind w:firstLine="420"/>
    </w:pPr>
    <w:rPr>
      <w:sz w:val="18"/>
    </w:rPr>
  </w:style>
  <w:style w:type="paragraph" w:customStyle="1" w:styleId="afb">
    <w:name w:val="标准文件_示例×："/>
    <w:basedOn w:val="afff6"/>
    <w:next w:val="afffffffffc"/>
    <w:autoRedefine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">
    <w:name w:val="标准文件_段 Char"/>
    <w:link w:val="afffff7"/>
    <w:autoRedefine/>
    <w:qFormat/>
    <w:rPr>
      <w:rFonts w:ascii="宋体" w:hAnsi="Times New Roman"/>
      <w:sz w:val="21"/>
    </w:rPr>
  </w:style>
  <w:style w:type="paragraph" w:customStyle="1" w:styleId="afffffffffd">
    <w:name w:val="标准文件_表格续"/>
    <w:basedOn w:val="afffff7"/>
    <w:next w:val="afffff7"/>
    <w:autoRedefine/>
    <w:qFormat/>
    <w:pPr>
      <w:jc w:val="center"/>
    </w:pPr>
    <w:rPr>
      <w:rFonts w:ascii="黑体" w:eastAsia="黑体" w:hAnsi="黑体"/>
    </w:rPr>
  </w:style>
  <w:style w:type="character" w:styleId="afffffffffe">
    <w:name w:val="Placeholder Text"/>
    <w:basedOn w:val="afff7"/>
    <w:autoRedefine/>
    <w:uiPriority w:val="99"/>
    <w:semiHidden/>
    <w:qFormat/>
    <w:rPr>
      <w:color w:val="808080"/>
    </w:rPr>
  </w:style>
  <w:style w:type="paragraph" w:customStyle="1" w:styleId="2">
    <w:name w:val="标准文件_二级项2"/>
    <w:basedOn w:val="afffff7"/>
    <w:autoRedefine/>
    <w:qFormat/>
    <w:pPr>
      <w:numPr>
        <w:ilvl w:val="1"/>
        <w:numId w:val="21"/>
      </w:numPr>
      <w:ind w:firstLineChars="0" w:firstLine="0"/>
    </w:pPr>
  </w:style>
  <w:style w:type="paragraph" w:customStyle="1" w:styleId="21">
    <w:name w:val="标准文件_三级项2"/>
    <w:basedOn w:val="afffff7"/>
    <w:autoRedefine/>
    <w:qFormat/>
    <w:pPr>
      <w:numPr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20">
    <w:name w:val="标准文件_一级项2"/>
    <w:basedOn w:val="afffff7"/>
    <w:autoRedefine/>
    <w:qFormat/>
    <w:pPr>
      <w:numPr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affffffffff">
    <w:name w:val="标准文件_提示"/>
    <w:basedOn w:val="afffff7"/>
    <w:next w:val="afffff7"/>
    <w:autoRedefine/>
    <w:qFormat/>
    <w:pPr>
      <w:ind w:firstLine="420"/>
    </w:pPr>
    <w:rPr>
      <w:rFonts w:ascii="黑体" w:eastAsia="黑体"/>
    </w:rPr>
  </w:style>
  <w:style w:type="character" w:customStyle="1" w:styleId="affffffffff0">
    <w:name w:val="标准文件_来源"/>
    <w:basedOn w:val="afff7"/>
    <w:autoRedefine/>
    <w:uiPriority w:val="1"/>
    <w:qFormat/>
    <w:rPr>
      <w:rFonts w:eastAsia="宋体"/>
      <w:sz w:val="21"/>
    </w:rPr>
  </w:style>
  <w:style w:type="paragraph" w:customStyle="1" w:styleId="affffffffff1">
    <w:name w:val="标准文件_图表说明"/>
    <w:autoRedefine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2">
    <w:name w:val="其他发布日期"/>
    <w:basedOn w:val="afffffff5"/>
    <w:autoRedefine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f3">
    <w:name w:val="其他实施日期"/>
    <w:basedOn w:val="affffffffb"/>
    <w:autoRedefine/>
    <w:qFormat/>
    <w:pPr>
      <w:framePr w:w="3997" w:h="471" w:hRule="exact" w:vSpace="181" w:wrap="around" w:vAnchor="page" w:hAnchor="page" w:x="7089" w:y="14097"/>
    </w:pPr>
  </w:style>
  <w:style w:type="paragraph" w:customStyle="1" w:styleId="affffffffff4">
    <w:name w:val="标准文件_文件编号"/>
    <w:basedOn w:val="afffff7"/>
    <w:autoRedefine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5">
    <w:name w:val="标准文件_替换文件编号"/>
    <w:basedOn w:val="affffffffff4"/>
    <w:autoRedefine/>
    <w:qFormat/>
    <w:pPr>
      <w:framePr w:wrap="around"/>
      <w:spacing w:before="57"/>
    </w:pPr>
    <w:rPr>
      <w:sz w:val="21"/>
    </w:rPr>
  </w:style>
  <w:style w:type="paragraph" w:customStyle="1" w:styleId="affffffffff6">
    <w:name w:val="标准文件_文件名称"/>
    <w:basedOn w:val="afffff7"/>
    <w:next w:val="afffff7"/>
    <w:autoRedefine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9">
    <w:name w:val="标准文件_附录图标号"/>
    <w:basedOn w:val="afffff7"/>
    <w:next w:val="afffff7"/>
    <w:autoRedefine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f">
    <w:name w:val="标准文件_附录表标号"/>
    <w:basedOn w:val="afffff7"/>
    <w:next w:val="afffff7"/>
    <w:autoRedefine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7"/>
    <w:next w:val="afffff7"/>
    <w:autoRedefine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7"/>
    <w:next w:val="afffff7"/>
    <w:autoRedefine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7"/>
    <w:next w:val="afffff7"/>
    <w:autoRedefine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7"/>
    <w:next w:val="afffff7"/>
    <w:autoRedefine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7"/>
    <w:next w:val="afffff7"/>
    <w:autoRedefine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7">
    <w:name w:val="标准文件_注后"/>
    <w:basedOn w:val="afffff7"/>
    <w:autoRedefine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7"/>
    <w:autoRedefine/>
    <w:qFormat/>
    <w:pPr>
      <w:ind w:left="811" w:firstLineChars="0" w:firstLine="0"/>
    </w:pPr>
    <w:rPr>
      <w:sz w:val="18"/>
    </w:rPr>
  </w:style>
  <w:style w:type="paragraph" w:customStyle="1" w:styleId="affffffffff8">
    <w:name w:val="标准文件_示例后"/>
    <w:basedOn w:val="afffff7"/>
    <w:autoRedefine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7"/>
    <w:link w:val="X1"/>
    <w:autoRedefine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"/>
    <w:link w:val="X0"/>
    <w:autoRedefine/>
    <w:qFormat/>
    <w:rPr>
      <w:rFonts w:ascii="宋体" w:hAnsi="Times New Roman"/>
      <w:sz w:val="18"/>
    </w:rPr>
  </w:style>
  <w:style w:type="paragraph" w:customStyle="1" w:styleId="affffffffff9">
    <w:name w:val="标准文件_索引项"/>
    <w:basedOn w:val="afffff7"/>
    <w:next w:val="afffff7"/>
    <w:autoRedefine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a">
    <w:name w:val="标准文件_附录一级无标题"/>
    <w:basedOn w:val="aff5"/>
    <w:autoRedefine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b">
    <w:name w:val="标准文件_附录二级无标题"/>
    <w:basedOn w:val="aff6"/>
    <w:autoRedefine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c">
    <w:name w:val="标准文件_附录三级无标题"/>
    <w:basedOn w:val="aff7"/>
    <w:autoRedefine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d">
    <w:name w:val="标准文件_附录四级无标题"/>
    <w:basedOn w:val="aff8"/>
    <w:autoRedefine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e">
    <w:name w:val="标准文件_附录五级无标题"/>
    <w:basedOn w:val="aff9"/>
    <w:autoRedefine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f">
    <w:name w:val="标准文件_引言一级无标题"/>
    <w:basedOn w:val="a7"/>
    <w:next w:val="afffff7"/>
    <w:autoRedefine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0">
    <w:name w:val="标准文件_引言二级无标题"/>
    <w:basedOn w:val="a8"/>
    <w:next w:val="afffff7"/>
    <w:autoRedefine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1">
    <w:name w:val="标准文件_引言三级无标题"/>
    <w:basedOn w:val="a9"/>
    <w:autoRedefine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2">
    <w:name w:val="标准文件_引言四级无标题"/>
    <w:basedOn w:val="aa"/>
    <w:next w:val="afffff7"/>
    <w:autoRedefine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3">
    <w:name w:val="标准文件_引言五级无标题"/>
    <w:basedOn w:val="ab"/>
    <w:next w:val="afffff7"/>
    <w:autoRedefine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4">
    <w:name w:val="标准文件_索引标题"/>
    <w:basedOn w:val="afffffe"/>
    <w:next w:val="afffff7"/>
    <w:autoRedefine/>
    <w:qFormat/>
    <w:rPr>
      <w:rFonts w:hAnsi="黑体"/>
    </w:rPr>
  </w:style>
  <w:style w:type="paragraph" w:customStyle="1" w:styleId="afffffffffff5">
    <w:name w:val="标准文件_脚注内容"/>
    <w:basedOn w:val="afffff7"/>
    <w:autoRedefine/>
    <w:qFormat/>
    <w:pPr>
      <w:ind w:leftChars="200" w:left="400" w:hangingChars="200" w:hanging="200"/>
    </w:pPr>
    <w:rPr>
      <w:sz w:val="15"/>
    </w:rPr>
  </w:style>
  <w:style w:type="paragraph" w:customStyle="1" w:styleId="afffffffffff6">
    <w:name w:val="标准文件_术语条一"/>
    <w:basedOn w:val="afffffffff0"/>
    <w:next w:val="afffff7"/>
    <w:autoRedefine/>
    <w:qFormat/>
  </w:style>
  <w:style w:type="paragraph" w:customStyle="1" w:styleId="afffffffffff7">
    <w:name w:val="标准文件_术语条二"/>
    <w:basedOn w:val="afffffffff3"/>
    <w:next w:val="afffff7"/>
    <w:autoRedefine/>
    <w:qFormat/>
  </w:style>
  <w:style w:type="paragraph" w:customStyle="1" w:styleId="afffffffffff8">
    <w:name w:val="标准文件_术语条三"/>
    <w:basedOn w:val="afffffffff2"/>
    <w:next w:val="afffff7"/>
    <w:autoRedefine/>
    <w:qFormat/>
  </w:style>
  <w:style w:type="paragraph" w:customStyle="1" w:styleId="afffffffffff9">
    <w:name w:val="标准文件_术语条四"/>
    <w:basedOn w:val="afffffffff5"/>
    <w:next w:val="afffff7"/>
    <w:autoRedefine/>
    <w:qFormat/>
  </w:style>
  <w:style w:type="paragraph" w:customStyle="1" w:styleId="afffffffffffa">
    <w:name w:val="标准文件_术语条五"/>
    <w:basedOn w:val="afffffffff1"/>
    <w:next w:val="afffff7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ffffffffffb">
    <w:name w:val="发布"/>
    <w:basedOn w:val="afff7"/>
    <w:autoRedefine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5">
    <w:name w:val="附录表标题"/>
    <w:basedOn w:val="afff6"/>
    <w:next w:val="afffffffffffc"/>
    <w:autoRedefine/>
    <w:qFormat/>
    <w:pPr>
      <w:numPr>
        <w:ilvl w:val="1"/>
        <w:numId w:val="32"/>
      </w:numPr>
      <w:tabs>
        <w:tab w:val="left" w:pos="180"/>
      </w:tabs>
      <w:spacing w:beforeLines="50" w:before="50" w:afterLines="50" w:after="50"/>
      <w:ind w:left="0" w:firstLineChars="200" w:firstLine="0"/>
      <w:jc w:val="center"/>
    </w:pPr>
    <w:rPr>
      <w:rFonts w:ascii="黑体" w:eastAsia="黑体" w:hAnsi="Times New Roman"/>
    </w:rPr>
  </w:style>
  <w:style w:type="paragraph" w:customStyle="1" w:styleId="afffffffffffc">
    <w:name w:val="段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image" Target="media/image1.jpg"/><Relationship Id="rId20" Type="http://schemas.openxmlformats.org/officeDocument/2006/relationships/footer" Target="footer6.xml"/><Relationship Id="rId41" Type="http://schemas.openxmlformats.org/officeDocument/2006/relationships/footer" Target="footer1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30E3B064BC4057BC3404502F002E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0A9516-991E-44FF-A3E0-B8ACA76D863D}"/>
      </w:docPartPr>
      <w:docPartBody>
        <w:p w:rsidR="00FC6AD1" w:rsidRDefault="00000000">
          <w:pPr>
            <w:pStyle w:val="AF30E3B064BC4057BC3404502F002E02"/>
            <w:rPr>
              <w:rFonts w:hint="eastAsia"/>
            </w:rPr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03009CAC06041108F48998C4640D9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A2F110-47D5-43FC-BFB4-398D5744385A}"/>
      </w:docPartPr>
      <w:docPartBody>
        <w:p w:rsidR="00FC6AD1" w:rsidRDefault="00000000">
          <w:pPr>
            <w:pStyle w:val="203009CAC06041108F48998C4640D96A"/>
            <w:rPr>
              <w:rFonts w:hint="eastAsia"/>
            </w:rPr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BE6"/>
    <w:rsid w:val="00050F30"/>
    <w:rsid w:val="002135BD"/>
    <w:rsid w:val="002909DC"/>
    <w:rsid w:val="002A0BE6"/>
    <w:rsid w:val="00381B10"/>
    <w:rsid w:val="009918C2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AF30E3B064BC4057BC3404502F002E02">
    <w:name w:val="AF30E3B064BC4057BC3404502F002E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03009CAC06041108F48998C4640D96A">
    <w:name w:val="203009CAC06041108F48998C4640D96A"/>
    <w:autoRedefine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2071</Words>
  <Characters>11806</Characters>
  <Application>Microsoft Office Word</Application>
  <DocSecurity>0</DocSecurity>
  <Lines>98</Lines>
  <Paragraphs>27</Paragraphs>
  <ScaleCrop>false</ScaleCrop>
  <Company>PCMI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胡一俊</dc:creator>
  <dc:description>&lt;config cover="true" show_menu="true" version="1.0.0" doctype="SDKXY"&gt;_x000d_
&lt;/config&gt;</dc:description>
  <cp:lastModifiedBy>ChunSheng Zhou</cp:lastModifiedBy>
  <cp:revision>26</cp:revision>
  <cp:lastPrinted>2020-08-31T02:00:00Z</cp:lastPrinted>
  <dcterms:created xsi:type="dcterms:W3CDTF">2023-09-14T20:52:00Z</dcterms:created>
  <dcterms:modified xsi:type="dcterms:W3CDTF">2025-09-04T04:19:00Z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-1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2052-12.1.0.22529</vt:lpwstr>
  </property>
  <property fmtid="{D5CDD505-2E9C-101B-9397-08002B2CF9AE}" pid="15" name="ICV">
    <vt:lpwstr>67C1822BB59641078E8F5D7D9735607B_13</vt:lpwstr>
  </property>
  <property fmtid="{D5CDD505-2E9C-101B-9397-08002B2CF9AE}" pid="16" name="KSOTemplateDocerSaveRecord">
    <vt:lpwstr>eyJoZGlkIjoiNzY5NzliMTUwMjYzMjZlM2JlMWRlZGIyYTdmZGIzNDUiLCJ1c2VySWQiOiIzODA3MTQyMjYifQ==</vt:lpwstr>
  </property>
  <property fmtid="{D5CDD505-2E9C-101B-9397-08002B2CF9AE}" pid="17" name="DoublePage">
    <vt:lpwstr>true</vt:lpwstr>
  </property>
</Properties>
</file>