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6DAE2" w14:textId="77777777" w:rsidR="00EA2B36" w:rsidRDefault="00EA2B36">
      <w:pPr>
        <w:jc w:val="center"/>
        <w:rPr>
          <w:rFonts w:ascii="宋体" w:eastAsia="黑体" w:hAnsi="宋体" w:hint="eastAsia"/>
          <w:b/>
          <w:bCs/>
          <w:sz w:val="52"/>
          <w:szCs w:val="52"/>
        </w:rPr>
      </w:pPr>
    </w:p>
    <w:p w14:paraId="4157C3CD" w14:textId="77777777" w:rsidR="00EA2B36" w:rsidRDefault="00EA2B36">
      <w:pPr>
        <w:jc w:val="center"/>
        <w:rPr>
          <w:rFonts w:ascii="宋体" w:eastAsia="黑体" w:hAnsi="宋体" w:hint="eastAsia"/>
          <w:b/>
          <w:bCs/>
          <w:sz w:val="52"/>
          <w:szCs w:val="52"/>
        </w:rPr>
      </w:pPr>
    </w:p>
    <w:p w14:paraId="5EFF760C" w14:textId="77777777" w:rsidR="00EA2B36" w:rsidRDefault="00EA2B36">
      <w:pPr>
        <w:jc w:val="center"/>
        <w:rPr>
          <w:rFonts w:ascii="宋体" w:eastAsia="黑体" w:hAnsi="宋体" w:hint="eastAsia"/>
          <w:b/>
          <w:bCs/>
          <w:sz w:val="52"/>
          <w:szCs w:val="52"/>
        </w:rPr>
      </w:pPr>
    </w:p>
    <w:p w14:paraId="09609DC1" w14:textId="77777777" w:rsidR="00EA2B36" w:rsidRDefault="00000000">
      <w:pPr>
        <w:jc w:val="center"/>
        <w:rPr>
          <w:rFonts w:ascii="宋体" w:eastAsia="黑体" w:hAnsi="宋体" w:hint="eastAsia"/>
          <w:sz w:val="44"/>
          <w:szCs w:val="44"/>
        </w:rPr>
      </w:pPr>
      <w:r>
        <w:rPr>
          <w:rFonts w:ascii="宋体" w:eastAsia="黑体" w:hAnsi="宋体"/>
          <w:sz w:val="44"/>
          <w:szCs w:val="44"/>
        </w:rPr>
        <w:t>《</w:t>
      </w:r>
      <w:r>
        <w:rPr>
          <w:rFonts w:ascii="宋体" w:eastAsia="黑体" w:hAnsi="宋体" w:hint="eastAsia"/>
          <w:sz w:val="44"/>
          <w:szCs w:val="44"/>
        </w:rPr>
        <w:t>涂装企业安全现状评价导则</w:t>
      </w:r>
      <w:r>
        <w:rPr>
          <w:rFonts w:ascii="宋体" w:eastAsia="黑体" w:hAnsi="宋体"/>
          <w:sz w:val="44"/>
          <w:szCs w:val="44"/>
        </w:rPr>
        <w:t>》</w:t>
      </w:r>
    </w:p>
    <w:p w14:paraId="5A909E19" w14:textId="77777777" w:rsidR="00EA2B36" w:rsidRDefault="00000000">
      <w:pPr>
        <w:jc w:val="center"/>
        <w:rPr>
          <w:rFonts w:ascii="宋体" w:eastAsia="黑体" w:hAnsi="宋体" w:hint="eastAsia"/>
          <w:sz w:val="32"/>
          <w:szCs w:val="32"/>
        </w:rPr>
      </w:pPr>
      <w:r>
        <w:rPr>
          <w:rFonts w:ascii="宋体" w:eastAsia="黑体" w:hAnsi="宋体"/>
          <w:sz w:val="32"/>
          <w:szCs w:val="32"/>
        </w:rPr>
        <w:t>(</w:t>
      </w:r>
      <w:r>
        <w:rPr>
          <w:rFonts w:ascii="宋体" w:eastAsia="黑体" w:hAnsi="宋体"/>
          <w:sz w:val="32"/>
          <w:szCs w:val="32"/>
        </w:rPr>
        <w:t>征求意见稿</w:t>
      </w:r>
      <w:r>
        <w:rPr>
          <w:rFonts w:ascii="宋体" w:eastAsia="黑体" w:hAnsi="宋体"/>
          <w:sz w:val="32"/>
          <w:szCs w:val="32"/>
        </w:rPr>
        <w:t>)</w:t>
      </w:r>
    </w:p>
    <w:p w14:paraId="790E0CA1" w14:textId="77777777" w:rsidR="00EA2B36" w:rsidRDefault="00EA2B36">
      <w:pPr>
        <w:jc w:val="center"/>
        <w:rPr>
          <w:rFonts w:ascii="宋体" w:hAnsi="宋体" w:hint="eastAsia"/>
          <w:sz w:val="44"/>
          <w:szCs w:val="44"/>
        </w:rPr>
      </w:pPr>
    </w:p>
    <w:p w14:paraId="2B077DBE" w14:textId="77777777" w:rsidR="00EA2B36" w:rsidRDefault="00EA2B36">
      <w:pPr>
        <w:jc w:val="center"/>
        <w:rPr>
          <w:rFonts w:ascii="宋体" w:hAnsi="宋体" w:hint="eastAsia"/>
          <w:sz w:val="44"/>
          <w:szCs w:val="44"/>
        </w:rPr>
      </w:pPr>
    </w:p>
    <w:p w14:paraId="596FA23C" w14:textId="77777777" w:rsidR="00EA2B36" w:rsidRDefault="00000000">
      <w:pPr>
        <w:jc w:val="center"/>
        <w:rPr>
          <w:rFonts w:ascii="宋体" w:eastAsia="黑体" w:hAnsi="宋体" w:hint="eastAsia"/>
          <w:sz w:val="44"/>
          <w:szCs w:val="44"/>
        </w:rPr>
      </w:pPr>
      <w:r>
        <w:rPr>
          <w:rFonts w:ascii="宋体" w:eastAsia="黑体" w:hAnsi="宋体" w:hint="eastAsia"/>
          <w:sz w:val="44"/>
          <w:szCs w:val="44"/>
        </w:rPr>
        <w:t>编制说明</w:t>
      </w:r>
    </w:p>
    <w:p w14:paraId="2AAFCB30" w14:textId="77777777" w:rsidR="00EA2B36" w:rsidRDefault="00EA2B36">
      <w:pPr>
        <w:jc w:val="center"/>
        <w:rPr>
          <w:rFonts w:ascii="宋体" w:hAnsi="宋体" w:hint="eastAsia"/>
        </w:rPr>
      </w:pPr>
    </w:p>
    <w:p w14:paraId="3512BFCA" w14:textId="77777777" w:rsidR="00EA2B36" w:rsidRDefault="00EA2B36">
      <w:pPr>
        <w:jc w:val="center"/>
        <w:rPr>
          <w:rFonts w:ascii="宋体" w:hAnsi="宋体" w:hint="eastAsia"/>
        </w:rPr>
      </w:pPr>
    </w:p>
    <w:p w14:paraId="2B546992" w14:textId="77777777" w:rsidR="00EA2B36" w:rsidRDefault="00EA2B36">
      <w:pPr>
        <w:jc w:val="center"/>
        <w:rPr>
          <w:rFonts w:ascii="宋体" w:hAnsi="宋体" w:hint="eastAsia"/>
        </w:rPr>
      </w:pPr>
    </w:p>
    <w:p w14:paraId="6062E0ED" w14:textId="77777777" w:rsidR="00EA2B36" w:rsidRDefault="00EA2B36">
      <w:pPr>
        <w:jc w:val="center"/>
        <w:rPr>
          <w:rFonts w:ascii="宋体" w:hAnsi="宋体" w:hint="eastAsia"/>
        </w:rPr>
      </w:pPr>
    </w:p>
    <w:p w14:paraId="4C5BCA99" w14:textId="77777777" w:rsidR="00EA2B36" w:rsidRDefault="00EA2B36">
      <w:pPr>
        <w:jc w:val="center"/>
        <w:rPr>
          <w:rFonts w:ascii="宋体" w:hAnsi="宋体" w:hint="eastAsia"/>
        </w:rPr>
      </w:pPr>
    </w:p>
    <w:p w14:paraId="78783C00" w14:textId="77777777" w:rsidR="00EA2B36" w:rsidRDefault="00EA2B36">
      <w:pPr>
        <w:jc w:val="center"/>
        <w:rPr>
          <w:rFonts w:ascii="宋体" w:hAnsi="宋体" w:hint="eastAsia"/>
        </w:rPr>
      </w:pPr>
    </w:p>
    <w:p w14:paraId="37A2C5D6" w14:textId="77777777" w:rsidR="00EA2B36" w:rsidRDefault="00EA2B36">
      <w:pPr>
        <w:jc w:val="center"/>
        <w:rPr>
          <w:rFonts w:ascii="宋体" w:hAnsi="宋体" w:hint="eastAsia"/>
        </w:rPr>
      </w:pPr>
    </w:p>
    <w:p w14:paraId="7A8C63B4" w14:textId="77777777" w:rsidR="00EA2B36" w:rsidRDefault="00EA2B36">
      <w:pPr>
        <w:jc w:val="center"/>
        <w:rPr>
          <w:rFonts w:ascii="宋体" w:hAnsi="宋体" w:hint="eastAsia"/>
        </w:rPr>
      </w:pPr>
    </w:p>
    <w:p w14:paraId="76D9DCBC" w14:textId="77777777" w:rsidR="00EA2B36" w:rsidRDefault="00EA2B36">
      <w:pPr>
        <w:jc w:val="center"/>
        <w:rPr>
          <w:rFonts w:ascii="宋体" w:hAnsi="宋体" w:hint="eastAsia"/>
        </w:rPr>
      </w:pPr>
    </w:p>
    <w:p w14:paraId="1EF60B50" w14:textId="77777777" w:rsidR="00EA2B36" w:rsidRDefault="00EA2B36">
      <w:pPr>
        <w:jc w:val="center"/>
        <w:rPr>
          <w:rFonts w:ascii="宋体" w:hAnsi="宋体" w:hint="eastAsia"/>
        </w:rPr>
      </w:pPr>
    </w:p>
    <w:p w14:paraId="601CCF02" w14:textId="77777777" w:rsidR="00EA2B36" w:rsidRDefault="00EA2B36">
      <w:pPr>
        <w:jc w:val="center"/>
        <w:rPr>
          <w:rFonts w:ascii="宋体" w:hAnsi="宋体" w:hint="eastAsia"/>
        </w:rPr>
      </w:pPr>
    </w:p>
    <w:p w14:paraId="4C3E5C7D" w14:textId="77777777" w:rsidR="00EA2B36" w:rsidRDefault="00EA2B36">
      <w:pPr>
        <w:jc w:val="center"/>
        <w:rPr>
          <w:rFonts w:ascii="宋体" w:hAnsi="宋体" w:hint="eastAsia"/>
        </w:rPr>
      </w:pPr>
    </w:p>
    <w:p w14:paraId="0F6EFC4F" w14:textId="77777777" w:rsidR="00EA2B36" w:rsidRDefault="00EA2B36">
      <w:pPr>
        <w:jc w:val="center"/>
        <w:rPr>
          <w:rFonts w:ascii="宋体" w:hAnsi="宋体" w:hint="eastAsia"/>
        </w:rPr>
      </w:pPr>
    </w:p>
    <w:p w14:paraId="2FD20E75" w14:textId="77777777" w:rsidR="00EA2B36" w:rsidRDefault="00EA2B36">
      <w:pPr>
        <w:jc w:val="center"/>
        <w:rPr>
          <w:rFonts w:ascii="宋体" w:hAnsi="宋体" w:hint="eastAsia"/>
          <w:spacing w:val="52"/>
          <w:sz w:val="44"/>
          <w:szCs w:val="44"/>
        </w:rPr>
      </w:pPr>
    </w:p>
    <w:p w14:paraId="28817B58" w14:textId="77777777" w:rsidR="00EA2B36" w:rsidRDefault="00EA2B36">
      <w:pPr>
        <w:jc w:val="center"/>
        <w:rPr>
          <w:rFonts w:ascii="宋体" w:hAnsi="宋体" w:hint="eastAsia"/>
          <w:spacing w:val="52"/>
          <w:sz w:val="44"/>
          <w:szCs w:val="44"/>
        </w:rPr>
      </w:pPr>
    </w:p>
    <w:p w14:paraId="0A659479" w14:textId="77777777" w:rsidR="00EA2B36" w:rsidRDefault="00EA2B36">
      <w:pPr>
        <w:jc w:val="center"/>
        <w:rPr>
          <w:rFonts w:ascii="宋体" w:hAnsi="宋体" w:hint="eastAsia"/>
          <w:spacing w:val="52"/>
          <w:sz w:val="36"/>
          <w:szCs w:val="36"/>
        </w:rPr>
      </w:pPr>
    </w:p>
    <w:p w14:paraId="75FD8D97" w14:textId="77777777" w:rsidR="00EA2B36" w:rsidRDefault="00000000">
      <w:pPr>
        <w:spacing w:line="500" w:lineRule="atLeast"/>
        <w:jc w:val="center"/>
        <w:rPr>
          <w:rFonts w:ascii="宋体" w:eastAsia="黑体" w:hAnsi="宋体" w:hint="eastAsia"/>
          <w:color w:val="000000"/>
          <w:sz w:val="36"/>
          <w:szCs w:val="36"/>
        </w:rPr>
      </w:pPr>
      <w:r>
        <w:rPr>
          <w:rFonts w:ascii="宋体" w:eastAsia="黑体" w:hAnsi="宋体"/>
          <w:color w:val="000000"/>
          <w:sz w:val="36"/>
          <w:szCs w:val="36"/>
        </w:rPr>
        <w:t>标准编制</w:t>
      </w:r>
      <w:r>
        <w:rPr>
          <w:rFonts w:ascii="宋体" w:eastAsia="黑体" w:hAnsi="宋体" w:hint="eastAsia"/>
          <w:color w:val="000000"/>
          <w:sz w:val="36"/>
          <w:szCs w:val="36"/>
        </w:rPr>
        <w:t>工作</w:t>
      </w:r>
      <w:r>
        <w:rPr>
          <w:rFonts w:ascii="宋体" w:eastAsia="黑体" w:hAnsi="宋体"/>
          <w:color w:val="000000"/>
          <w:sz w:val="36"/>
          <w:szCs w:val="36"/>
        </w:rPr>
        <w:t>组</w:t>
      </w:r>
    </w:p>
    <w:p w14:paraId="1B2DDD6F" w14:textId="77777777" w:rsidR="00EA2B36" w:rsidRDefault="00000000">
      <w:pPr>
        <w:spacing w:line="500" w:lineRule="atLeast"/>
        <w:jc w:val="center"/>
        <w:rPr>
          <w:rFonts w:ascii="宋体" w:eastAsia="黑体" w:hAnsi="宋体" w:hint="eastAsia"/>
          <w:color w:val="000000"/>
          <w:sz w:val="36"/>
          <w:szCs w:val="36"/>
        </w:rPr>
      </w:pPr>
      <w:r>
        <w:rPr>
          <w:rFonts w:ascii="宋体" w:eastAsia="黑体" w:hAnsi="宋体"/>
          <w:color w:val="000000"/>
          <w:sz w:val="36"/>
          <w:szCs w:val="36"/>
        </w:rPr>
        <w:t>20</w:t>
      </w:r>
      <w:r>
        <w:rPr>
          <w:rFonts w:ascii="宋体" w:eastAsia="黑体" w:hAnsi="宋体" w:hint="eastAsia"/>
          <w:color w:val="000000"/>
          <w:sz w:val="36"/>
          <w:szCs w:val="36"/>
        </w:rPr>
        <w:t>25</w:t>
      </w:r>
      <w:r>
        <w:rPr>
          <w:rFonts w:ascii="宋体" w:eastAsia="黑体" w:hAnsi="宋体"/>
          <w:color w:val="000000"/>
          <w:sz w:val="36"/>
          <w:szCs w:val="36"/>
        </w:rPr>
        <w:t>年</w:t>
      </w:r>
      <w:r>
        <w:rPr>
          <w:rFonts w:ascii="宋体" w:eastAsia="黑体" w:hAnsi="宋体" w:hint="eastAsia"/>
          <w:color w:val="000000"/>
          <w:sz w:val="36"/>
          <w:szCs w:val="36"/>
        </w:rPr>
        <w:t>9</w:t>
      </w:r>
      <w:r>
        <w:rPr>
          <w:rFonts w:ascii="宋体" w:eastAsia="黑体" w:hAnsi="宋体"/>
          <w:color w:val="000000"/>
          <w:sz w:val="36"/>
          <w:szCs w:val="36"/>
        </w:rPr>
        <w:t>月</w:t>
      </w:r>
    </w:p>
    <w:p w14:paraId="49949D4D" w14:textId="77777777" w:rsidR="00EA2B36" w:rsidRDefault="00EA2B36"/>
    <w:p w14:paraId="656372BB" w14:textId="77777777" w:rsidR="00EA2B36" w:rsidRDefault="00EA2B36">
      <w:pPr>
        <w:rPr>
          <w:rFonts w:ascii="黑体" w:eastAsia="黑体" w:hAnsi="黑体" w:cs="黑体" w:hint="eastAsia"/>
        </w:rPr>
      </w:pPr>
    </w:p>
    <w:p w14:paraId="33354F05" w14:textId="77777777" w:rsidR="00EA2B36" w:rsidRDefault="00EA2B36">
      <w:pPr>
        <w:spacing w:line="360" w:lineRule="auto"/>
        <w:rPr>
          <w:rFonts w:ascii="黑体" w:eastAsia="黑体" w:hAnsi="黑体" w:cs="黑体" w:hint="eastAsia"/>
          <w:sz w:val="32"/>
          <w:szCs w:val="32"/>
        </w:rPr>
        <w:sectPr w:rsidR="00EA2B36">
          <w:pgSz w:w="11906" w:h="16838"/>
          <w:pgMar w:top="1417" w:right="1417" w:bottom="1417" w:left="1417" w:header="851" w:footer="992" w:gutter="0"/>
          <w:cols w:space="425"/>
          <w:docGrid w:type="lines" w:linePitch="312"/>
        </w:sectPr>
      </w:pPr>
    </w:p>
    <w:p w14:paraId="1F25398D" w14:textId="77777777" w:rsidR="00EA2B36" w:rsidRDefault="00000000">
      <w:pPr>
        <w:spacing w:line="360" w:lineRule="auto"/>
        <w:rPr>
          <w:rFonts w:ascii="黑体" w:eastAsia="黑体" w:hAnsi="黑体" w:cs="黑体" w:hint="eastAsia"/>
          <w:sz w:val="32"/>
          <w:szCs w:val="32"/>
        </w:rPr>
      </w:pPr>
      <w:r>
        <w:rPr>
          <w:rFonts w:ascii="黑体" w:eastAsia="黑体" w:hAnsi="黑体" w:cs="黑体" w:hint="eastAsia"/>
          <w:sz w:val="32"/>
          <w:szCs w:val="32"/>
        </w:rPr>
        <w:lastRenderedPageBreak/>
        <w:t xml:space="preserve">一、工作简况 </w:t>
      </w:r>
    </w:p>
    <w:p w14:paraId="721D9BAE" w14:textId="77777777" w:rsidR="00EA2B36" w:rsidRDefault="00000000">
      <w:pPr>
        <w:spacing w:line="360" w:lineRule="auto"/>
        <w:rPr>
          <w:rFonts w:ascii="楷体" w:eastAsia="楷体" w:hAnsi="楷体" w:cs="楷体" w:hint="eastAsia"/>
          <w:sz w:val="30"/>
          <w:szCs w:val="30"/>
        </w:rPr>
      </w:pPr>
      <w:r>
        <w:rPr>
          <w:rFonts w:ascii="楷体" w:eastAsia="楷体" w:hAnsi="楷体" w:cs="楷体" w:hint="eastAsia"/>
          <w:sz w:val="30"/>
          <w:szCs w:val="30"/>
        </w:rPr>
        <w:t>1、任务来源</w:t>
      </w:r>
    </w:p>
    <w:p w14:paraId="74EA4AA8"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安全评价检测检验机构管理办法》（应急管理部令第1号）《安全评价机构执业行为专项整治方案》（应急厅[2021]38号）《应急管理部关于进一步加强安全评价机构监管的指导意见》（应急[2023]99号）等文件发布后，对安全评价机构监管力度持续增加，也对安全评价机构规范从业行为提高了期待。根据《浙江省应急管理厅关于开展行业安全评价报告导则编制试点工作的通知》</w:t>
      </w:r>
      <w:r>
        <w:rPr>
          <w:rFonts w:ascii="宋体" w:eastAsia="宋体" w:hAnsi="宋体" w:cs="宋体"/>
          <w:sz w:val="28"/>
          <w:szCs w:val="28"/>
        </w:rPr>
        <w:t>，</w:t>
      </w:r>
      <w:r>
        <w:rPr>
          <w:rFonts w:ascii="宋体" w:eastAsia="宋体" w:hAnsi="宋体" w:cs="宋体" w:hint="eastAsia"/>
          <w:sz w:val="28"/>
          <w:szCs w:val="28"/>
        </w:rPr>
        <w:t>为填补涂装企业安全现状评价指导标准的空白，规范涂装加工企业安全评价工作，2024年</w:t>
      </w:r>
      <w:r>
        <w:rPr>
          <w:rFonts w:ascii="宋体" w:eastAsia="宋体" w:hAnsi="宋体" w:cs="宋体"/>
          <w:sz w:val="28"/>
          <w:szCs w:val="28"/>
        </w:rPr>
        <w:t>由</w:t>
      </w:r>
      <w:r>
        <w:rPr>
          <w:rFonts w:ascii="宋体" w:eastAsia="宋体" w:hAnsi="宋体" w:cs="宋体" w:hint="eastAsia"/>
          <w:sz w:val="28"/>
          <w:szCs w:val="28"/>
        </w:rPr>
        <w:t>宁波华东安全科技有限公司、宁波市应急管理局、浙江省应急管理科学研究院、宁波工程学院等</w:t>
      </w:r>
      <w:r>
        <w:rPr>
          <w:rFonts w:ascii="宋体" w:eastAsia="宋体" w:hAnsi="宋体" w:cs="宋体"/>
          <w:sz w:val="28"/>
          <w:szCs w:val="28"/>
        </w:rPr>
        <w:t>单位，</w:t>
      </w:r>
      <w:r>
        <w:rPr>
          <w:rFonts w:ascii="宋体" w:eastAsia="宋体" w:hAnsi="宋体" w:cs="宋体" w:hint="eastAsia"/>
          <w:sz w:val="28"/>
          <w:szCs w:val="28"/>
        </w:rPr>
        <w:t>联合</w:t>
      </w:r>
      <w:r>
        <w:rPr>
          <w:rFonts w:ascii="宋体" w:eastAsia="宋体" w:hAnsi="宋体" w:cs="宋体"/>
          <w:sz w:val="28"/>
          <w:szCs w:val="28"/>
        </w:rPr>
        <w:t>省内行业专家、部分评价</w:t>
      </w:r>
      <w:r>
        <w:rPr>
          <w:rFonts w:ascii="宋体" w:eastAsia="宋体" w:hAnsi="宋体" w:cs="宋体" w:hint="eastAsia"/>
          <w:sz w:val="28"/>
          <w:szCs w:val="28"/>
        </w:rPr>
        <w:t>机构起草</w:t>
      </w:r>
      <w:r>
        <w:rPr>
          <w:rFonts w:ascii="宋体" w:eastAsia="宋体" w:hAnsi="宋体" w:cs="宋体"/>
          <w:sz w:val="28"/>
          <w:szCs w:val="28"/>
        </w:rPr>
        <w:t>编制</w:t>
      </w:r>
      <w:r>
        <w:rPr>
          <w:rFonts w:ascii="宋体" w:eastAsia="宋体" w:hAnsi="宋体" w:cs="宋体" w:hint="eastAsia"/>
          <w:sz w:val="28"/>
          <w:szCs w:val="28"/>
        </w:rPr>
        <w:t>该团体标准</w:t>
      </w:r>
      <w:r>
        <w:rPr>
          <w:rFonts w:ascii="宋体" w:eastAsia="宋体" w:hAnsi="宋体" w:cs="宋体"/>
          <w:sz w:val="28"/>
          <w:szCs w:val="28"/>
        </w:rPr>
        <w:t>。</w:t>
      </w:r>
    </w:p>
    <w:p w14:paraId="5B3F1753" w14:textId="77777777" w:rsidR="00EA2B36" w:rsidRDefault="00000000">
      <w:pPr>
        <w:spacing w:line="360" w:lineRule="auto"/>
        <w:rPr>
          <w:rFonts w:ascii="楷体" w:eastAsia="楷体" w:hAnsi="楷体" w:cs="楷体" w:hint="eastAsia"/>
          <w:sz w:val="30"/>
          <w:szCs w:val="30"/>
        </w:rPr>
      </w:pPr>
      <w:r>
        <w:rPr>
          <w:rFonts w:ascii="楷体" w:eastAsia="楷体" w:hAnsi="楷体" w:cs="楷体" w:hint="eastAsia"/>
          <w:sz w:val="30"/>
          <w:szCs w:val="30"/>
        </w:rPr>
        <w:t xml:space="preserve">2、起草单位 </w:t>
      </w:r>
    </w:p>
    <w:p w14:paraId="1E6EB494"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起草单位：宁波华东安全科技有限公司、宁波市应急管理局、浙江省应急管理科学研究院、宁波工程学院。 </w:t>
      </w:r>
    </w:p>
    <w:p w14:paraId="18125B0C"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本标准主要起草人：×××、××、×××、×××、×××。 </w:t>
      </w:r>
    </w:p>
    <w:p w14:paraId="133BA791" w14:textId="77777777" w:rsidR="00EA2B36" w:rsidRDefault="00000000">
      <w:pPr>
        <w:spacing w:line="360" w:lineRule="auto"/>
        <w:rPr>
          <w:rFonts w:ascii="楷体" w:eastAsia="楷体" w:hAnsi="楷体" w:cs="楷体" w:hint="eastAsia"/>
          <w:sz w:val="30"/>
          <w:szCs w:val="30"/>
        </w:rPr>
      </w:pPr>
      <w:r>
        <w:rPr>
          <w:rFonts w:ascii="楷体" w:eastAsia="楷体" w:hAnsi="楷体" w:cs="楷体" w:hint="eastAsia"/>
          <w:sz w:val="30"/>
          <w:szCs w:val="30"/>
        </w:rPr>
        <w:t xml:space="preserve">3、标准编制过程 </w:t>
      </w:r>
    </w:p>
    <w:p w14:paraId="72980EBC"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(1) 起草工作阶段</w:t>
      </w:r>
    </w:p>
    <w:p w14:paraId="4E7A30D1"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根据任务要求，牵头单位于2024年6月成立了标准编制起草工作组，明确了任务分工、基本要求和进度安排。标准起草工作组经过广泛调研、咨询，收集和查阅有关资料，包括：标准编制方面的规范要求、安全评价、涂装作业、职业健康安全管理体系等方面的法律法规和标准规范，调研涂装企业，和监管部门、技术专家、企业管理人员座谈研讨，于2025年5月</w:t>
      </w:r>
      <w:r>
        <w:rPr>
          <w:rFonts w:ascii="宋体" w:eastAsia="宋体" w:hAnsi="宋体" w:cs="宋体" w:hint="eastAsia"/>
          <w:sz w:val="28"/>
          <w:szCs w:val="28"/>
        </w:rPr>
        <w:lastRenderedPageBreak/>
        <w:t>完成团体标准《涂装企业安全现状评价导则》（草案）。</w:t>
      </w:r>
    </w:p>
    <w:p w14:paraId="40AF98C5"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（2）专家研讨、完善修改、形成征求意见稿 </w:t>
      </w:r>
    </w:p>
    <w:p w14:paraId="2B84850D" w14:textId="54878F7E"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在通过浙江省安全生产协会团体标准立项评审后，起草工作组再次进行调研，并于</w:t>
      </w:r>
      <w:r w:rsidR="004A0D1B">
        <w:rPr>
          <w:rFonts w:ascii="宋体" w:eastAsia="宋体" w:hAnsi="宋体" w:cs="宋体" w:hint="eastAsia"/>
          <w:sz w:val="28"/>
          <w:szCs w:val="28"/>
        </w:rPr>
        <w:t>8</w:t>
      </w:r>
      <w:r>
        <w:rPr>
          <w:rFonts w:ascii="宋体" w:eastAsia="宋体" w:hAnsi="宋体" w:cs="宋体" w:hint="eastAsia"/>
          <w:sz w:val="28"/>
          <w:szCs w:val="28"/>
        </w:rPr>
        <w:t>月组织有关安全评价机构相关负责人对团体标准《涂装企业安全现状评价导则》（草案）进行讨论，在此基础上进行了修改和完善。形成团标的征求意见稿。</w:t>
      </w:r>
    </w:p>
    <w:p w14:paraId="15F10224" w14:textId="77777777" w:rsidR="00EA2B36" w:rsidRDefault="00000000">
      <w:pPr>
        <w:spacing w:line="360" w:lineRule="auto"/>
        <w:rPr>
          <w:rFonts w:ascii="黑体" w:eastAsia="黑体" w:hAnsi="黑体" w:cs="黑体" w:hint="eastAsia"/>
          <w:sz w:val="32"/>
          <w:szCs w:val="32"/>
        </w:rPr>
      </w:pPr>
      <w:r>
        <w:rPr>
          <w:rFonts w:ascii="黑体" w:eastAsia="黑体" w:hAnsi="黑体" w:cs="黑体" w:hint="eastAsia"/>
          <w:sz w:val="32"/>
          <w:szCs w:val="32"/>
        </w:rPr>
        <w:t>二、标准编制原则和主要内容</w:t>
      </w:r>
    </w:p>
    <w:p w14:paraId="59EBDE51"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1、标准编制原则 </w:t>
      </w:r>
    </w:p>
    <w:p w14:paraId="48BCAEF4"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（1）回归初心，以风险管控逻辑贯穿</w:t>
      </w:r>
    </w:p>
    <w:p w14:paraId="0990A534"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sz w:val="28"/>
          <w:szCs w:val="28"/>
        </w:rPr>
        <w:t>标准执行《中华人民共和国安全生产法》、《安全评价检测检验机构管理办法》（应急管理部令第1号）等我国现行法律、法规，</w:t>
      </w:r>
      <w:r>
        <w:rPr>
          <w:rFonts w:ascii="宋体" w:eastAsia="宋体" w:hAnsi="宋体" w:cs="宋体" w:hint="eastAsia"/>
          <w:sz w:val="28"/>
          <w:szCs w:val="28"/>
        </w:rPr>
        <w:t>回归风险评价初心。针对原有安全评价报告企业概况、危险有害因素分析、定性定量评价和对策措施建议相互缺乏有效关联、逻辑性不强等缺陷，本标准以企业安全风险管控逻辑贯穿始终，确保安全评价工作和安全评价报告内容始终围绕风险管控展开</w:t>
      </w:r>
      <w:r>
        <w:rPr>
          <w:rFonts w:ascii="宋体" w:eastAsia="宋体" w:hAnsi="宋体" w:cs="宋体"/>
          <w:sz w:val="28"/>
          <w:szCs w:val="28"/>
        </w:rPr>
        <w:t xml:space="preserve">。 </w:t>
      </w:r>
    </w:p>
    <w:p w14:paraId="0D1E7836"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sz w:val="28"/>
          <w:szCs w:val="28"/>
        </w:rPr>
        <w:t xml:space="preserve"> </w:t>
      </w:r>
      <w:r>
        <w:rPr>
          <w:rFonts w:ascii="宋体" w:eastAsia="宋体" w:hAnsi="宋体" w:cs="宋体" w:hint="eastAsia"/>
          <w:sz w:val="28"/>
          <w:szCs w:val="28"/>
        </w:rPr>
        <w:t>（2）坚持实用原则，助力安全生产</w:t>
      </w:r>
    </w:p>
    <w:p w14:paraId="64F66B8F"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危害因素分析和定性定量评价等主要内容与企业风险管控逻辑保持一致，对被评价企业风险管控效果和管控能力进行评价，提升安全评价报告为企业安全风险管理提供指导的能力，坚持实用原则，助力企业安全生产。</w:t>
      </w:r>
    </w:p>
    <w:p w14:paraId="5C8932C6"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（3）</w:t>
      </w:r>
      <w:r>
        <w:rPr>
          <w:rFonts w:ascii="宋体" w:eastAsia="宋体" w:hAnsi="宋体" w:cs="宋体"/>
          <w:sz w:val="28"/>
          <w:szCs w:val="28"/>
        </w:rPr>
        <w:t>坚持全面性、协调性原则</w:t>
      </w:r>
    </w:p>
    <w:p w14:paraId="166DD05E"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sz w:val="28"/>
          <w:szCs w:val="28"/>
        </w:rPr>
        <w:t>标准</w:t>
      </w:r>
      <w:r>
        <w:rPr>
          <w:rFonts w:ascii="宋体" w:eastAsia="宋体" w:hAnsi="宋体" w:cs="宋体" w:hint="eastAsia"/>
          <w:sz w:val="28"/>
          <w:szCs w:val="28"/>
        </w:rPr>
        <w:t>在安全评价报告格式要求上，与《安全评价通则》（AQ8001- 2007）等要求协调统一</w:t>
      </w:r>
      <w:r>
        <w:rPr>
          <w:rFonts w:ascii="宋体" w:eastAsia="宋体" w:hAnsi="宋体" w:cs="宋体"/>
          <w:sz w:val="28"/>
          <w:szCs w:val="28"/>
        </w:rPr>
        <w:t>。</w:t>
      </w:r>
      <w:r>
        <w:rPr>
          <w:rFonts w:ascii="宋体" w:eastAsia="宋体" w:hAnsi="宋体" w:cs="宋体" w:hint="eastAsia"/>
          <w:sz w:val="28"/>
          <w:szCs w:val="28"/>
        </w:rPr>
        <w:t>在相关标准框架下实施，填补涂装企业安全现状评价缺</w:t>
      </w:r>
      <w:r>
        <w:rPr>
          <w:rFonts w:ascii="宋体" w:eastAsia="宋体" w:hAnsi="宋体" w:cs="宋体" w:hint="eastAsia"/>
          <w:sz w:val="28"/>
          <w:szCs w:val="28"/>
        </w:rPr>
        <w:lastRenderedPageBreak/>
        <w:t>少指导标准的空白。</w:t>
      </w:r>
    </w:p>
    <w:p w14:paraId="0DDF51FC" w14:textId="77777777" w:rsidR="00EA2B36" w:rsidRDefault="00000000">
      <w:pPr>
        <w:spacing w:line="360" w:lineRule="auto"/>
        <w:ind w:firstLineChars="200" w:firstLine="562"/>
        <w:rPr>
          <w:rFonts w:ascii="宋体" w:eastAsia="宋体" w:hAnsi="宋体" w:cs="宋体" w:hint="eastAsia"/>
          <w:b/>
          <w:bCs/>
          <w:sz w:val="28"/>
          <w:szCs w:val="28"/>
        </w:rPr>
      </w:pPr>
      <w:r>
        <w:rPr>
          <w:rFonts w:ascii="宋体" w:eastAsia="宋体" w:hAnsi="宋体" w:cs="宋体" w:hint="eastAsia"/>
          <w:b/>
          <w:bCs/>
          <w:sz w:val="28"/>
          <w:szCs w:val="28"/>
        </w:rPr>
        <w:t>2、主要依据</w:t>
      </w:r>
    </w:p>
    <w:p w14:paraId="4B58EDFD"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（1）标准编写依据：《标准化工作导则 第 1 部分：标准化文件的结构和起草规则》（GB/T 1.1-2020）。 </w:t>
      </w:r>
    </w:p>
    <w:p w14:paraId="2DAEDAA7"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2）安全评价相关依据：《中华人民共和国安全生产法》、《安全评价检测检验机构管理办法》（应急管理部令第1号）、《安全评价机构执业行为专项整治方案》（应急厅[2021]38号）、《应急管理部关于进一步加强安全评价机构监管的指导意见》（应急[2023]99号）、《安全评价通则》（AQ 8001）等。 </w:t>
      </w:r>
    </w:p>
    <w:p w14:paraId="2807070B" w14:textId="77777777" w:rsidR="00EA2B36" w:rsidRDefault="00000000">
      <w:pPr>
        <w:spacing w:line="360" w:lineRule="auto"/>
        <w:ind w:firstLineChars="200" w:firstLine="560"/>
        <w:rPr>
          <w:rFonts w:ascii="宋体" w:eastAsia="仿宋_GB2312" w:hAnsi="宋体" w:cs="宋体" w:hint="eastAsia"/>
          <w:spacing w:val="5"/>
          <w:kern w:val="0"/>
          <w:sz w:val="32"/>
          <w:szCs w:val="32"/>
        </w:rPr>
      </w:pPr>
      <w:r>
        <w:rPr>
          <w:rFonts w:ascii="宋体" w:eastAsia="宋体" w:hAnsi="宋体" w:cs="宋体" w:hint="eastAsia"/>
          <w:sz w:val="28"/>
          <w:szCs w:val="28"/>
        </w:rPr>
        <w:t>（3）涂装作业相关依据：《涂装作业安全规程 涂漆工艺安全及其通风》（GB6514-2023）、《涂装作业安全规程 喷漆室安全技术规定》（GB14444-2006）、《涂装作业安全规程 涂层烘干室安全技术规定》（GB14443- 2007）、《涂装工程安全设施验收规范》（AQ 5201-2007）、《涂装作业安全规程 静电喷漆工艺安全》（GB12367-2006）、《涂装作业安全规程 静电喷枪及其辅助装置安全技术条件》（GB14773-2007）、《涂装作业安全规程 有机废气净化装置安全技术规定》（GB20101-2006）、</w:t>
      </w:r>
      <w:r>
        <w:rPr>
          <w:rFonts w:ascii="宋体" w:eastAsia="宋体" w:hAnsi="宋体" w:cs="宋体" w:hint="eastAsia"/>
          <w:sz w:val="28"/>
          <w:szCs w:val="28"/>
          <w:lang w:val="zh-CN"/>
        </w:rPr>
        <w:t>《工贸企业重大事故隐患判定标准》（应急管理部令第10号）</w:t>
      </w:r>
      <w:r>
        <w:rPr>
          <w:rFonts w:ascii="宋体" w:eastAsia="宋体" w:hAnsi="宋体" w:cs="宋体" w:hint="eastAsia"/>
          <w:sz w:val="28"/>
          <w:szCs w:val="28"/>
        </w:rPr>
        <w:t>等。</w:t>
      </w:r>
    </w:p>
    <w:p w14:paraId="30A60AB0"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（4）其他依据：《风险管理 术语》（GB/T23694-2013）、《职业健康安全管理体系 要求及使用指南》（GB/T45001-2020）等。</w:t>
      </w:r>
    </w:p>
    <w:p w14:paraId="6CF4C5AC"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3、主要内容</w:t>
      </w:r>
    </w:p>
    <w:p w14:paraId="0550391F"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sz w:val="28"/>
          <w:szCs w:val="28"/>
        </w:rPr>
        <w:t>在内容结构上，《</w:t>
      </w:r>
      <w:r>
        <w:rPr>
          <w:rFonts w:ascii="宋体" w:eastAsia="宋体" w:hAnsi="宋体" w:cs="宋体" w:hint="eastAsia"/>
          <w:sz w:val="28"/>
          <w:szCs w:val="28"/>
        </w:rPr>
        <w:t>涂装企业安全现状评价导则</w:t>
      </w:r>
      <w:r>
        <w:rPr>
          <w:rFonts w:ascii="宋体" w:eastAsia="宋体" w:hAnsi="宋体" w:cs="宋体"/>
          <w:sz w:val="28"/>
          <w:szCs w:val="28"/>
        </w:rPr>
        <w:t>》包括</w:t>
      </w:r>
      <w:r>
        <w:rPr>
          <w:rFonts w:ascii="宋体" w:eastAsia="宋体" w:hAnsi="宋体" w:cs="宋体" w:hint="eastAsia"/>
          <w:sz w:val="28"/>
          <w:szCs w:val="28"/>
        </w:rPr>
        <w:t>12</w:t>
      </w:r>
      <w:r>
        <w:rPr>
          <w:rFonts w:ascii="宋体" w:eastAsia="宋体" w:hAnsi="宋体" w:cs="宋体"/>
          <w:sz w:val="28"/>
          <w:szCs w:val="28"/>
        </w:rPr>
        <w:t>个方面的内容，分别为：第1章 范围；第2章 规范性引用文件；第3章 术语和定义；第</w:t>
      </w:r>
      <w:r>
        <w:rPr>
          <w:rFonts w:ascii="宋体" w:eastAsia="宋体" w:hAnsi="宋体" w:cs="宋体"/>
          <w:sz w:val="28"/>
          <w:szCs w:val="28"/>
        </w:rPr>
        <w:lastRenderedPageBreak/>
        <w:t xml:space="preserve">4章 </w:t>
      </w:r>
      <w:r>
        <w:rPr>
          <w:rFonts w:ascii="宋体" w:eastAsia="宋体" w:hAnsi="宋体" w:cs="宋体" w:hint="eastAsia"/>
          <w:sz w:val="28"/>
          <w:szCs w:val="28"/>
        </w:rPr>
        <w:t>总体</w:t>
      </w:r>
      <w:r>
        <w:rPr>
          <w:rFonts w:ascii="宋体" w:eastAsia="宋体" w:hAnsi="宋体" w:cs="宋体"/>
          <w:sz w:val="28"/>
          <w:szCs w:val="28"/>
        </w:rPr>
        <w:t xml:space="preserve">要求； 第5章 </w:t>
      </w:r>
      <w:r>
        <w:rPr>
          <w:rFonts w:ascii="宋体" w:eastAsia="宋体" w:hAnsi="宋体" w:cs="宋体" w:hint="eastAsia"/>
          <w:sz w:val="28"/>
          <w:szCs w:val="28"/>
        </w:rPr>
        <w:t>前期准备</w:t>
      </w:r>
      <w:r>
        <w:rPr>
          <w:rFonts w:ascii="宋体" w:eastAsia="宋体" w:hAnsi="宋体" w:cs="宋体"/>
          <w:sz w:val="28"/>
          <w:szCs w:val="28"/>
        </w:rPr>
        <w:t>；第6章</w:t>
      </w:r>
      <w:r>
        <w:rPr>
          <w:rFonts w:ascii="宋体" w:eastAsia="宋体" w:hAnsi="宋体" w:cs="宋体" w:hint="eastAsia"/>
          <w:sz w:val="28"/>
          <w:szCs w:val="28"/>
        </w:rPr>
        <w:t xml:space="preserve"> 评价单元和风险点划分</w:t>
      </w:r>
      <w:r>
        <w:rPr>
          <w:rFonts w:ascii="宋体" w:eastAsia="宋体" w:hAnsi="宋体" w:cs="宋体"/>
          <w:sz w:val="28"/>
          <w:szCs w:val="28"/>
        </w:rPr>
        <w:t>；第</w:t>
      </w:r>
      <w:r>
        <w:rPr>
          <w:rFonts w:ascii="宋体" w:eastAsia="宋体" w:hAnsi="宋体" w:cs="宋体" w:hint="eastAsia"/>
          <w:sz w:val="28"/>
          <w:szCs w:val="28"/>
        </w:rPr>
        <w:t>7</w:t>
      </w:r>
      <w:r>
        <w:rPr>
          <w:rFonts w:ascii="宋体" w:eastAsia="宋体" w:hAnsi="宋体" w:cs="宋体"/>
          <w:sz w:val="28"/>
          <w:szCs w:val="28"/>
        </w:rPr>
        <w:t>章</w:t>
      </w:r>
      <w:r>
        <w:rPr>
          <w:rFonts w:ascii="宋体" w:eastAsia="宋体" w:hAnsi="宋体" w:cs="宋体" w:hint="eastAsia"/>
          <w:sz w:val="28"/>
          <w:szCs w:val="28"/>
        </w:rPr>
        <w:t xml:space="preserve"> 危害因素分析</w:t>
      </w:r>
      <w:r>
        <w:rPr>
          <w:rFonts w:ascii="宋体" w:eastAsia="宋体" w:hAnsi="宋体" w:cs="宋体"/>
          <w:sz w:val="28"/>
          <w:szCs w:val="28"/>
        </w:rPr>
        <w:t>；第</w:t>
      </w:r>
      <w:r>
        <w:rPr>
          <w:rFonts w:ascii="宋体" w:eastAsia="宋体" w:hAnsi="宋体" w:cs="宋体" w:hint="eastAsia"/>
          <w:sz w:val="28"/>
          <w:szCs w:val="28"/>
        </w:rPr>
        <w:t>8</w:t>
      </w:r>
      <w:r>
        <w:rPr>
          <w:rFonts w:ascii="宋体" w:eastAsia="宋体" w:hAnsi="宋体" w:cs="宋体"/>
          <w:sz w:val="28"/>
          <w:szCs w:val="28"/>
        </w:rPr>
        <w:t>章</w:t>
      </w:r>
      <w:r>
        <w:rPr>
          <w:rFonts w:ascii="宋体" w:eastAsia="宋体" w:hAnsi="宋体" w:cs="宋体" w:hint="eastAsia"/>
          <w:sz w:val="28"/>
          <w:szCs w:val="28"/>
        </w:rPr>
        <w:t xml:space="preserve"> 定性定量评价</w:t>
      </w:r>
      <w:r>
        <w:rPr>
          <w:rFonts w:ascii="宋体" w:eastAsia="宋体" w:hAnsi="宋体" w:cs="宋体"/>
          <w:sz w:val="28"/>
          <w:szCs w:val="28"/>
        </w:rPr>
        <w:t>；第</w:t>
      </w:r>
      <w:r>
        <w:rPr>
          <w:rFonts w:ascii="宋体" w:eastAsia="宋体" w:hAnsi="宋体" w:cs="宋体" w:hint="eastAsia"/>
          <w:sz w:val="28"/>
          <w:szCs w:val="28"/>
        </w:rPr>
        <w:t>9</w:t>
      </w:r>
      <w:r>
        <w:rPr>
          <w:rFonts w:ascii="宋体" w:eastAsia="宋体" w:hAnsi="宋体" w:cs="宋体"/>
          <w:sz w:val="28"/>
          <w:szCs w:val="28"/>
        </w:rPr>
        <w:t>章</w:t>
      </w:r>
      <w:r>
        <w:rPr>
          <w:rFonts w:ascii="宋体" w:eastAsia="宋体" w:hAnsi="宋体" w:cs="宋体" w:hint="eastAsia"/>
          <w:sz w:val="28"/>
          <w:szCs w:val="28"/>
        </w:rPr>
        <w:t xml:space="preserve"> 安全对策措施建议</w:t>
      </w:r>
      <w:r>
        <w:rPr>
          <w:rFonts w:ascii="宋体" w:eastAsia="宋体" w:hAnsi="宋体" w:cs="宋体"/>
          <w:sz w:val="28"/>
          <w:szCs w:val="28"/>
        </w:rPr>
        <w:t>；第</w:t>
      </w:r>
      <w:r>
        <w:rPr>
          <w:rFonts w:ascii="宋体" w:eastAsia="宋体" w:hAnsi="宋体" w:cs="宋体" w:hint="eastAsia"/>
          <w:sz w:val="28"/>
          <w:szCs w:val="28"/>
        </w:rPr>
        <w:t>10</w:t>
      </w:r>
      <w:r>
        <w:rPr>
          <w:rFonts w:ascii="宋体" w:eastAsia="宋体" w:hAnsi="宋体" w:cs="宋体"/>
          <w:sz w:val="28"/>
          <w:szCs w:val="28"/>
        </w:rPr>
        <w:t>章</w:t>
      </w:r>
      <w:r>
        <w:rPr>
          <w:rFonts w:ascii="宋体" w:eastAsia="宋体" w:hAnsi="宋体" w:cs="宋体" w:hint="eastAsia"/>
          <w:sz w:val="28"/>
          <w:szCs w:val="28"/>
        </w:rPr>
        <w:t xml:space="preserve"> 现场复核</w:t>
      </w:r>
      <w:r>
        <w:rPr>
          <w:rFonts w:ascii="宋体" w:eastAsia="宋体" w:hAnsi="宋体" w:cs="宋体"/>
          <w:sz w:val="28"/>
          <w:szCs w:val="28"/>
        </w:rPr>
        <w:t>；第</w:t>
      </w:r>
      <w:r>
        <w:rPr>
          <w:rFonts w:ascii="宋体" w:eastAsia="宋体" w:hAnsi="宋体" w:cs="宋体" w:hint="eastAsia"/>
          <w:sz w:val="28"/>
          <w:szCs w:val="28"/>
        </w:rPr>
        <w:t>11</w:t>
      </w:r>
      <w:r>
        <w:rPr>
          <w:rFonts w:ascii="宋体" w:eastAsia="宋体" w:hAnsi="宋体" w:cs="宋体"/>
          <w:sz w:val="28"/>
          <w:szCs w:val="28"/>
        </w:rPr>
        <w:t>章</w:t>
      </w:r>
      <w:r>
        <w:rPr>
          <w:rFonts w:ascii="宋体" w:eastAsia="宋体" w:hAnsi="宋体" w:cs="宋体" w:hint="eastAsia"/>
          <w:sz w:val="28"/>
          <w:szCs w:val="28"/>
        </w:rPr>
        <w:t xml:space="preserve"> 评价结果综述</w:t>
      </w:r>
      <w:r>
        <w:rPr>
          <w:rFonts w:ascii="宋体" w:eastAsia="宋体" w:hAnsi="宋体" w:cs="宋体"/>
          <w:sz w:val="28"/>
          <w:szCs w:val="28"/>
        </w:rPr>
        <w:t>；第</w:t>
      </w:r>
      <w:r>
        <w:rPr>
          <w:rFonts w:ascii="宋体" w:eastAsia="宋体" w:hAnsi="宋体" w:cs="宋体" w:hint="eastAsia"/>
          <w:sz w:val="28"/>
          <w:szCs w:val="28"/>
        </w:rPr>
        <w:t>12</w:t>
      </w:r>
      <w:r>
        <w:rPr>
          <w:rFonts w:ascii="宋体" w:eastAsia="宋体" w:hAnsi="宋体" w:cs="宋体"/>
          <w:sz w:val="28"/>
          <w:szCs w:val="28"/>
        </w:rPr>
        <w:t>章</w:t>
      </w:r>
      <w:r>
        <w:rPr>
          <w:rFonts w:ascii="宋体" w:eastAsia="宋体" w:hAnsi="宋体" w:cs="宋体" w:hint="eastAsia"/>
          <w:sz w:val="28"/>
          <w:szCs w:val="28"/>
        </w:rPr>
        <w:t xml:space="preserve"> 报告编制</w:t>
      </w:r>
      <w:r>
        <w:rPr>
          <w:rFonts w:ascii="宋体" w:eastAsia="宋体" w:hAnsi="宋体" w:cs="宋体"/>
          <w:sz w:val="28"/>
          <w:szCs w:val="28"/>
        </w:rPr>
        <w:t>；</w:t>
      </w:r>
      <w:r>
        <w:rPr>
          <w:rFonts w:ascii="宋体" w:eastAsia="宋体" w:hAnsi="宋体" w:cs="宋体" w:hint="eastAsia"/>
          <w:sz w:val="28"/>
          <w:szCs w:val="28"/>
        </w:rPr>
        <w:t>附录A风险点划分原则；附录B 作业条件危险性分析法评价准则；附录C 风险矩阵法评价准则。</w:t>
      </w:r>
    </w:p>
    <w:p w14:paraId="71AC0172"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第1章 </w:t>
      </w:r>
      <w:r>
        <w:rPr>
          <w:rFonts w:ascii="宋体" w:eastAsia="宋体" w:hAnsi="宋体" w:cs="宋体"/>
          <w:sz w:val="28"/>
          <w:szCs w:val="28"/>
        </w:rPr>
        <w:t>范围</w:t>
      </w:r>
      <w:r>
        <w:rPr>
          <w:rFonts w:ascii="宋体" w:eastAsia="宋体" w:hAnsi="宋体" w:cs="宋体" w:hint="eastAsia"/>
          <w:sz w:val="28"/>
          <w:szCs w:val="28"/>
        </w:rPr>
        <w:t>：</w:t>
      </w:r>
      <w:r>
        <w:rPr>
          <w:rFonts w:ascii="宋体" w:eastAsia="宋体" w:hAnsi="宋体" w:cs="宋体"/>
          <w:sz w:val="28"/>
          <w:szCs w:val="28"/>
        </w:rPr>
        <w:t>本文件规定了涂装企业安全评价的总体要求</w:t>
      </w:r>
      <w:r>
        <w:rPr>
          <w:rFonts w:ascii="宋体" w:eastAsia="宋体" w:hAnsi="宋体" w:cs="宋体" w:hint="eastAsia"/>
          <w:sz w:val="28"/>
          <w:szCs w:val="28"/>
        </w:rPr>
        <w:t>、前期准备、评价单元及风险点划分、危害因素分析、定性定量评价、安全对策措施建议、现场复核、评价结果综述和报告编制。</w:t>
      </w:r>
    </w:p>
    <w:p w14:paraId="6EC0728A"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本文件适用于涂装企业的安全现状评价，也适用于针对企业涂装作业过程的专项安全评价。本文件可以为使用非危险化学品涂料进行涂装作业的企业，实施安全风险评估活动提供参考。</w:t>
      </w:r>
    </w:p>
    <w:p w14:paraId="67F70959"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第2章 </w:t>
      </w:r>
      <w:r>
        <w:rPr>
          <w:rFonts w:ascii="宋体" w:eastAsia="宋体" w:hAnsi="宋体" w:cs="宋体"/>
          <w:sz w:val="28"/>
          <w:szCs w:val="28"/>
        </w:rPr>
        <w:t>规范性引用文件</w:t>
      </w:r>
      <w:r>
        <w:rPr>
          <w:rFonts w:ascii="宋体" w:eastAsia="宋体" w:hAnsi="宋体" w:cs="宋体" w:hint="eastAsia"/>
          <w:sz w:val="28"/>
          <w:szCs w:val="28"/>
        </w:rPr>
        <w:t>：</w:t>
      </w:r>
      <w:r>
        <w:rPr>
          <w:rFonts w:ascii="宋体" w:eastAsia="宋体" w:hAnsi="宋体" w:cs="宋体"/>
          <w:sz w:val="28"/>
          <w:szCs w:val="28"/>
        </w:rPr>
        <w:t xml:space="preserve">阐明了引用的标准和规范性文件的情况。 </w:t>
      </w:r>
    </w:p>
    <w:p w14:paraId="0B2E86DC"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第3章 </w:t>
      </w:r>
      <w:r>
        <w:rPr>
          <w:rFonts w:ascii="宋体" w:eastAsia="宋体" w:hAnsi="宋体" w:cs="宋体"/>
          <w:sz w:val="28"/>
          <w:szCs w:val="28"/>
        </w:rPr>
        <w:t>术语和定义</w:t>
      </w:r>
      <w:r>
        <w:rPr>
          <w:rFonts w:ascii="宋体" w:eastAsia="宋体" w:hAnsi="宋体" w:cs="宋体" w:hint="eastAsia"/>
          <w:sz w:val="28"/>
          <w:szCs w:val="28"/>
        </w:rPr>
        <w:t>：</w:t>
      </w:r>
      <w:r>
        <w:rPr>
          <w:rFonts w:ascii="宋体" w:eastAsia="宋体" w:hAnsi="宋体" w:cs="宋体"/>
          <w:sz w:val="28"/>
          <w:szCs w:val="28"/>
        </w:rPr>
        <w:t>为避免理解不一而造成标准实施过程中的分歧，本章对“</w:t>
      </w:r>
      <w:r>
        <w:rPr>
          <w:rFonts w:ascii="宋体" w:eastAsia="宋体" w:hAnsi="宋体" w:cs="宋体" w:hint="eastAsia"/>
          <w:sz w:val="28"/>
          <w:szCs w:val="28"/>
        </w:rPr>
        <w:t>涂装作业</w:t>
      </w:r>
      <w:r>
        <w:rPr>
          <w:rFonts w:ascii="宋体" w:eastAsia="宋体" w:hAnsi="宋体" w:cs="宋体"/>
          <w:sz w:val="28"/>
          <w:szCs w:val="28"/>
        </w:rPr>
        <w:t>”、“</w:t>
      </w:r>
      <w:r>
        <w:rPr>
          <w:rFonts w:ascii="宋体" w:eastAsia="宋体" w:hAnsi="宋体" w:cs="宋体" w:hint="eastAsia"/>
          <w:sz w:val="28"/>
          <w:szCs w:val="28"/>
        </w:rPr>
        <w:t>涂装企业</w:t>
      </w:r>
      <w:r>
        <w:rPr>
          <w:rFonts w:ascii="宋体" w:eastAsia="宋体" w:hAnsi="宋体" w:cs="宋体"/>
          <w:sz w:val="28"/>
          <w:szCs w:val="28"/>
        </w:rPr>
        <w:t>”、“</w:t>
      </w:r>
      <w:r>
        <w:rPr>
          <w:rFonts w:ascii="宋体" w:eastAsia="宋体" w:hAnsi="宋体" w:cs="宋体" w:hint="eastAsia"/>
          <w:sz w:val="28"/>
          <w:szCs w:val="28"/>
        </w:rPr>
        <w:t>风险点</w:t>
      </w:r>
      <w:r>
        <w:rPr>
          <w:rFonts w:ascii="宋体" w:eastAsia="宋体" w:hAnsi="宋体" w:cs="宋体"/>
          <w:sz w:val="28"/>
          <w:szCs w:val="28"/>
        </w:rPr>
        <w:t>”、“</w:t>
      </w:r>
      <w:r>
        <w:rPr>
          <w:rFonts w:ascii="宋体" w:eastAsia="宋体" w:hAnsi="宋体" w:cs="宋体" w:hint="eastAsia"/>
          <w:sz w:val="28"/>
          <w:szCs w:val="28"/>
        </w:rPr>
        <w:t>危害因素</w:t>
      </w:r>
      <w:r>
        <w:rPr>
          <w:rFonts w:ascii="宋体" w:eastAsia="宋体" w:hAnsi="宋体" w:cs="宋体"/>
          <w:sz w:val="28"/>
          <w:szCs w:val="28"/>
        </w:rPr>
        <w:t>”</w:t>
      </w:r>
      <w:r>
        <w:rPr>
          <w:rFonts w:ascii="宋体" w:eastAsia="宋体" w:hAnsi="宋体" w:cs="宋体" w:hint="eastAsia"/>
          <w:sz w:val="28"/>
          <w:szCs w:val="28"/>
        </w:rPr>
        <w:t>、“失控诱因”、“危害因素描述”、“风险控制措施”、“高后果危害因素”</w:t>
      </w:r>
      <w:r>
        <w:rPr>
          <w:rFonts w:ascii="宋体" w:eastAsia="宋体" w:hAnsi="宋体" w:cs="宋体"/>
          <w:sz w:val="28"/>
          <w:szCs w:val="28"/>
        </w:rPr>
        <w:t>等关键性术语进行了定义。</w:t>
      </w:r>
    </w:p>
    <w:p w14:paraId="12F84C23" w14:textId="77777777" w:rsidR="00EA2B36" w:rsidRDefault="00000000">
      <w:pPr>
        <w:numPr>
          <w:ilvl w:val="0"/>
          <w:numId w:val="1"/>
        </w:num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总体</w:t>
      </w:r>
      <w:r>
        <w:rPr>
          <w:rFonts w:ascii="宋体" w:eastAsia="宋体" w:hAnsi="宋体" w:cs="宋体"/>
          <w:sz w:val="28"/>
          <w:szCs w:val="28"/>
        </w:rPr>
        <w:t>要求</w:t>
      </w:r>
      <w:r>
        <w:rPr>
          <w:rFonts w:ascii="宋体" w:eastAsia="宋体" w:hAnsi="宋体" w:cs="宋体" w:hint="eastAsia"/>
          <w:sz w:val="28"/>
          <w:szCs w:val="28"/>
        </w:rPr>
        <w:t>：明确安全评价应符合</w:t>
      </w:r>
      <w:r>
        <w:rPr>
          <w:rFonts w:ascii="宋体" w:eastAsia="宋体" w:hAnsi="宋体" w:cs="宋体"/>
          <w:sz w:val="28"/>
          <w:szCs w:val="28"/>
        </w:rPr>
        <w:t> </w:t>
      </w:r>
      <w:r>
        <w:rPr>
          <w:rFonts w:ascii="宋体" w:eastAsia="宋体" w:hAnsi="宋体" w:cs="宋体" w:hint="eastAsia"/>
          <w:sz w:val="28"/>
          <w:szCs w:val="28"/>
        </w:rPr>
        <w:t>AQ 8001的规定，安全评价过程的控制应符合协会团体标准《</w:t>
      </w:r>
      <w:hyperlink r:id="rId8" w:tgtFrame="https://www.ttbz.org.cn/OrganManage/Detail/_blank" w:history="1">
        <w:r>
          <w:rPr>
            <w:rFonts w:ascii="宋体" w:eastAsia="宋体" w:hAnsi="宋体" w:cs="宋体" w:hint="eastAsia"/>
            <w:sz w:val="28"/>
            <w:szCs w:val="28"/>
          </w:rPr>
          <w:t>安全评价过程控制管理规范 安全评价报告编制</w:t>
        </w:r>
      </w:hyperlink>
      <w:r>
        <w:rPr>
          <w:rFonts w:ascii="宋体" w:eastAsia="宋体" w:hAnsi="宋体" w:cs="宋体" w:hint="eastAsia"/>
          <w:sz w:val="28"/>
          <w:szCs w:val="28"/>
        </w:rPr>
        <w:t> 》（</w:t>
      </w:r>
      <w:hyperlink r:id="rId9" w:tgtFrame="https://www.ttbz.org.cn/OrganManage/Detail/_blank" w:history="1">
        <w:r>
          <w:rPr>
            <w:rFonts w:ascii="宋体" w:eastAsia="宋体" w:hAnsi="宋体" w:cs="宋体" w:hint="eastAsia"/>
            <w:sz w:val="28"/>
            <w:szCs w:val="28"/>
          </w:rPr>
          <w:t>T/ZAWS 001—2022</w:t>
        </w:r>
      </w:hyperlink>
      <w:r>
        <w:rPr>
          <w:rFonts w:ascii="宋体" w:eastAsia="宋体" w:hAnsi="宋体" w:cs="宋体" w:hint="eastAsia"/>
          <w:sz w:val="28"/>
          <w:szCs w:val="28"/>
        </w:rPr>
        <w:t>）。</w:t>
      </w:r>
    </w:p>
    <w:p w14:paraId="5A8DA69E"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sz w:val="28"/>
          <w:szCs w:val="28"/>
        </w:rPr>
        <w:t xml:space="preserve"> 第5章 </w:t>
      </w:r>
      <w:r>
        <w:rPr>
          <w:rFonts w:ascii="宋体" w:eastAsia="宋体" w:hAnsi="宋体" w:cs="宋体" w:hint="eastAsia"/>
          <w:sz w:val="28"/>
          <w:szCs w:val="28"/>
        </w:rPr>
        <w:t>前期准备：前期准备工作包括成立安全评价组、确定评价范围和收集资料</w:t>
      </w:r>
      <w:r>
        <w:rPr>
          <w:rFonts w:ascii="宋体" w:eastAsia="宋体" w:hAnsi="宋体" w:cs="宋体"/>
          <w:sz w:val="28"/>
          <w:szCs w:val="28"/>
        </w:rPr>
        <w:t>。</w:t>
      </w:r>
    </w:p>
    <w:p w14:paraId="073DD551"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第6章 评价单元和风险点划分：规定了风险数据采集要求，评价单元</w:t>
      </w:r>
      <w:r>
        <w:rPr>
          <w:rFonts w:ascii="宋体" w:eastAsia="宋体" w:hAnsi="宋体" w:cs="宋体" w:hint="eastAsia"/>
          <w:sz w:val="28"/>
          <w:szCs w:val="28"/>
        </w:rPr>
        <w:lastRenderedPageBreak/>
        <w:t>和风险点划分要求。</w:t>
      </w:r>
    </w:p>
    <w:p w14:paraId="6A2D36B3"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第7章 危害因素分析：明确危害因素分析原则和描述方法，明确危害因素与风险管控对策措施逻辑关系；以及危险化学品分类及其重大危险源辨识。</w:t>
      </w:r>
    </w:p>
    <w:p w14:paraId="63986CA8"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第8章 定性定量评价：阐明定性定量评价方法和选用要求，明确符合性评价的检查内容确定原则，风险程度评价方法，风险可接受准则，以及高后果危害因素的定量评价要求。</w:t>
      </w:r>
    </w:p>
    <w:p w14:paraId="698D5DFE"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第9章 安全对策措施建议：阐明涂装企业安全现状评价中，安全对策措施建议的主要内容及遵循原则。</w:t>
      </w:r>
    </w:p>
    <w:p w14:paraId="6F5BC7DD" w14:textId="77777777" w:rsidR="00EA2B36" w:rsidRDefault="00000000">
      <w:pPr>
        <w:spacing w:line="360" w:lineRule="auto"/>
        <w:ind w:firstLine="560"/>
        <w:rPr>
          <w:rFonts w:ascii="宋体" w:eastAsia="宋体" w:hAnsi="宋体" w:cs="宋体" w:hint="eastAsia"/>
          <w:sz w:val="28"/>
          <w:szCs w:val="28"/>
        </w:rPr>
      </w:pPr>
      <w:r>
        <w:rPr>
          <w:rFonts w:ascii="宋体" w:eastAsia="宋体" w:hAnsi="宋体" w:cs="宋体" w:hint="eastAsia"/>
          <w:sz w:val="28"/>
          <w:szCs w:val="28"/>
        </w:rPr>
        <w:t>第10章 现场复核：阐述现场复核内容和目的，以及现场复核工作要求。</w:t>
      </w:r>
    </w:p>
    <w:p w14:paraId="2F0F6D63"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第11章 评价结果综述：阐明评价结果综述要求。</w:t>
      </w:r>
    </w:p>
    <w:p w14:paraId="7DE42B6E" w14:textId="77777777" w:rsidR="00EA2B36" w:rsidRDefault="00000000">
      <w:pPr>
        <w:spacing w:line="360" w:lineRule="auto"/>
        <w:ind w:firstLine="560"/>
        <w:rPr>
          <w:rFonts w:ascii="宋体" w:eastAsia="宋体" w:hAnsi="宋体" w:cs="宋体" w:hint="eastAsia"/>
          <w:sz w:val="28"/>
          <w:szCs w:val="28"/>
        </w:rPr>
      </w:pPr>
      <w:r>
        <w:rPr>
          <w:rFonts w:ascii="宋体" w:eastAsia="宋体" w:hAnsi="宋体" w:cs="宋体" w:hint="eastAsia"/>
          <w:sz w:val="28"/>
          <w:szCs w:val="28"/>
        </w:rPr>
        <w:t>第12章 报告编制：阐述报告编制的基本要求，内容和格式要求。</w:t>
      </w:r>
    </w:p>
    <w:p w14:paraId="35630B34" w14:textId="77777777" w:rsidR="00EA2B36" w:rsidRDefault="00000000">
      <w:pPr>
        <w:spacing w:line="360" w:lineRule="auto"/>
        <w:ind w:firstLineChars="200" w:firstLine="560"/>
        <w:rPr>
          <w:rFonts w:ascii="黑体" w:eastAsia="黑体" w:hAnsi="黑体" w:cs="黑体" w:hint="eastAsia"/>
          <w:sz w:val="32"/>
          <w:szCs w:val="32"/>
        </w:rPr>
      </w:pPr>
      <w:r>
        <w:rPr>
          <w:rFonts w:ascii="宋体" w:eastAsia="宋体" w:hAnsi="宋体" w:cs="宋体" w:hint="eastAsia"/>
          <w:sz w:val="28"/>
          <w:szCs w:val="28"/>
        </w:rPr>
        <w:t>资料性附录还提出了风险划分原则、作业条件危险性分析法评价准则、风险矩阵法评价准则；供使用者参考。</w:t>
      </w:r>
    </w:p>
    <w:p w14:paraId="33B1A7A1" w14:textId="77777777" w:rsidR="00EA2B36" w:rsidRDefault="00000000">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三、与国际、国外有关法律法规和标准水平的对比分析 </w:t>
      </w:r>
    </w:p>
    <w:p w14:paraId="417887E1"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本标准是为了规范涂装企业安全现状评价活动而做出的相关技术要求，国际、国外目前还没有相关的法律法规和标准。</w:t>
      </w:r>
    </w:p>
    <w:p w14:paraId="4801AC03" w14:textId="77777777" w:rsidR="00EA2B36" w:rsidRDefault="00000000">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四、与有关现行法律、法规和其他相关标准的关系</w:t>
      </w:r>
    </w:p>
    <w:p w14:paraId="0330D0CD"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本标准根据《中华人民共和国安全生产法》、《危险化学品安全管理条例》、《浙江省安全生产条例》等的相关要求制定。</w:t>
      </w:r>
    </w:p>
    <w:p w14:paraId="02C6F68F"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依据《标准化工作导则 第 1 部分：标准化文件的结构和起草规则》</w:t>
      </w:r>
      <w:r>
        <w:rPr>
          <w:rFonts w:ascii="宋体" w:eastAsia="宋体" w:hAnsi="宋体" w:cs="宋体" w:hint="eastAsia"/>
          <w:sz w:val="28"/>
          <w:szCs w:val="28"/>
        </w:rPr>
        <w:lastRenderedPageBreak/>
        <w:t>（GB/T 1.1-2020）进行编制。</w:t>
      </w:r>
    </w:p>
    <w:p w14:paraId="25ED7444"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本标准与《安全评价通则》、《安全评价过程控制管理规范 安全评价报告编制》(T/ZAWS 001-2022)保持协调统一，相互支撑。</w:t>
      </w:r>
    </w:p>
    <w:p w14:paraId="2192148A" w14:textId="77777777" w:rsidR="00EA2B36" w:rsidRDefault="00000000">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五、重大分歧意见的处理过程、处理意见及其依据</w:t>
      </w:r>
    </w:p>
    <w:p w14:paraId="7C2ABB09"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无 </w:t>
      </w:r>
    </w:p>
    <w:p w14:paraId="0E563E5C" w14:textId="77777777" w:rsidR="00EA2B36" w:rsidRDefault="00000000">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六、作为强制性标准或推荐性标准的建议及理由</w:t>
      </w:r>
    </w:p>
    <w:p w14:paraId="1DA30D17"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本标准用于指导安全评价机构开展涂装企业安全现状评价报告编制的技术指导，因此建议本标准为团体标准，推荐性标准。</w:t>
      </w:r>
    </w:p>
    <w:p w14:paraId="1339F1A4" w14:textId="77777777" w:rsidR="00EA2B36" w:rsidRDefault="00000000">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七、贯彻标准的要求和措施建议</w:t>
      </w:r>
    </w:p>
    <w:p w14:paraId="30F7E297"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本标准发布后，将在我省安全评价机构进行宣传、培训和实施，及时为我省的安全评价机构开展安全评价工作提供规范和指导。</w:t>
      </w:r>
    </w:p>
    <w:p w14:paraId="30BC95AB" w14:textId="77777777" w:rsidR="00EA2B36" w:rsidRDefault="00000000">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八、涉及专利的有关说明 </w:t>
      </w:r>
    </w:p>
    <w:p w14:paraId="4DC6A0A7" w14:textId="77777777" w:rsidR="00EA2B36" w:rsidRDefault="00000000">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无 </w:t>
      </w:r>
    </w:p>
    <w:p w14:paraId="580E1736" w14:textId="77777777" w:rsidR="00EA2B36" w:rsidRDefault="00000000">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九、其他应予以说明的事项</w:t>
      </w:r>
    </w:p>
    <w:p w14:paraId="2F9D45B7" w14:textId="77777777" w:rsidR="00EA2B36" w:rsidRDefault="00000000">
      <w:pPr>
        <w:spacing w:line="360" w:lineRule="auto"/>
        <w:rPr>
          <w:rFonts w:ascii="宋体" w:eastAsia="宋体" w:hAnsi="宋体" w:cs="宋体" w:hint="eastAsia"/>
          <w:sz w:val="28"/>
          <w:szCs w:val="28"/>
        </w:rPr>
      </w:pPr>
      <w:r>
        <w:rPr>
          <w:rFonts w:ascii="宋体" w:eastAsia="宋体" w:hAnsi="宋体" w:cs="宋体" w:hint="eastAsia"/>
          <w:sz w:val="28"/>
          <w:szCs w:val="28"/>
        </w:rPr>
        <w:t xml:space="preserve">    无</w:t>
      </w:r>
    </w:p>
    <w:sectPr w:rsidR="00EA2B36">
      <w:footerReference w:type="default" r:id="rId10"/>
      <w:pgSz w:w="11906" w:h="16838"/>
      <w:pgMar w:top="1417" w:right="1417" w:bottom="1417" w:left="141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D878B" w14:textId="77777777" w:rsidR="00C332A9" w:rsidRDefault="00C332A9">
      <w:r>
        <w:separator/>
      </w:r>
    </w:p>
  </w:endnote>
  <w:endnote w:type="continuationSeparator" w:id="0">
    <w:p w14:paraId="73A6D42F" w14:textId="77777777" w:rsidR="00C332A9" w:rsidRDefault="00C3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AE2E" w14:textId="77777777" w:rsidR="00EA2B36" w:rsidRDefault="00000000">
    <w:pPr>
      <w:pStyle w:val="a3"/>
    </w:pPr>
    <w:r>
      <w:rPr>
        <w:noProof/>
      </w:rPr>
      <mc:AlternateContent>
        <mc:Choice Requires="wps">
          <w:drawing>
            <wp:anchor distT="0" distB="0" distL="114300" distR="114300" simplePos="0" relativeHeight="251659264" behindDoc="0" locked="0" layoutInCell="1" allowOverlap="1" wp14:anchorId="1DF821A4" wp14:editId="532F4AB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2733F" w14:textId="77777777" w:rsidR="00EA2B36" w:rsidRDefault="00000000">
                          <w:pPr>
                            <w:pStyle w:val="a3"/>
                            <w:rPr>
                              <w:rFonts w:ascii="宋体" w:eastAsia="宋体" w:hAnsi="宋体" w:cs="宋体" w:hint="eastAsia"/>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Pr>
                              <w:rFonts w:ascii="宋体" w:eastAsia="宋体" w:hAnsi="宋体" w:cs="宋体" w:hint="eastAsia"/>
                              <w:sz w:val="21"/>
                              <w:szCs w:val="21"/>
                            </w:rPr>
                            <w:t>1</w:t>
                          </w:r>
                          <w:r>
                            <w:rPr>
                              <w:rFonts w:ascii="宋体" w:eastAsia="宋体" w:hAnsi="宋体" w:cs="宋体"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F821A4"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852733F" w14:textId="77777777" w:rsidR="00EA2B36" w:rsidRDefault="00000000">
                    <w:pPr>
                      <w:pStyle w:val="a3"/>
                      <w:rPr>
                        <w:rFonts w:ascii="宋体" w:eastAsia="宋体" w:hAnsi="宋体" w:cs="宋体" w:hint="eastAsia"/>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Pr>
                        <w:rFonts w:ascii="宋体" w:eastAsia="宋体" w:hAnsi="宋体" w:cs="宋体" w:hint="eastAsia"/>
                        <w:sz w:val="21"/>
                        <w:szCs w:val="21"/>
                      </w:rPr>
                      <w:t>1</w:t>
                    </w:r>
                    <w:r>
                      <w:rPr>
                        <w:rFonts w:ascii="宋体" w:eastAsia="宋体" w:hAnsi="宋体" w:cs="宋体"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B02D2" w14:textId="77777777" w:rsidR="00C332A9" w:rsidRDefault="00C332A9">
      <w:r>
        <w:separator/>
      </w:r>
    </w:p>
  </w:footnote>
  <w:footnote w:type="continuationSeparator" w:id="0">
    <w:p w14:paraId="4E4D9B01" w14:textId="77777777" w:rsidR="00C332A9" w:rsidRDefault="00C3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AEB966"/>
    <w:multiLevelType w:val="singleLevel"/>
    <w:tmpl w:val="F5AEB966"/>
    <w:lvl w:ilvl="0">
      <w:start w:val="4"/>
      <w:numFmt w:val="decimal"/>
      <w:suff w:val="space"/>
      <w:lvlText w:val="第%1章"/>
      <w:lvlJc w:val="left"/>
    </w:lvl>
  </w:abstractNum>
  <w:num w:numId="1" w16cid:durableId="82216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E1NWRjYjNiNzZmYzJhNDljMmNlNjE2MjI2NDE4MzcifQ=="/>
  </w:docVars>
  <w:rsids>
    <w:rsidRoot w:val="318A4951"/>
    <w:rsid w:val="004A0D1B"/>
    <w:rsid w:val="00B66210"/>
    <w:rsid w:val="00C332A9"/>
    <w:rsid w:val="00EA2B36"/>
    <w:rsid w:val="0DD91F44"/>
    <w:rsid w:val="1D5265B3"/>
    <w:rsid w:val="1D8A0039"/>
    <w:rsid w:val="318A4951"/>
    <w:rsid w:val="57467A4A"/>
    <w:rsid w:val="5F20199D"/>
    <w:rsid w:val="6E703E14"/>
    <w:rsid w:val="78863235"/>
    <w:rsid w:val="7A1E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C6083"/>
  <w15:docId w15:val="{A06EE69D-324C-4478-8B7C-BA411C53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customStyle="1" w:styleId="a6">
    <w:name w:val="标准文件_段"/>
    <w:autoRedefine/>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bz.org.cn/StandardManage/Detail/753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tbz.org.cn/StandardManage/Detail/75399"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牧民</dc:creator>
  <cp:lastModifiedBy>ChunSheng Zhou</cp:lastModifiedBy>
  <cp:revision>3</cp:revision>
  <dcterms:created xsi:type="dcterms:W3CDTF">2024-11-07T06:50:00Z</dcterms:created>
  <dcterms:modified xsi:type="dcterms:W3CDTF">2025-09-11T01:33:00Z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B440AE1AA5A74F45A8E2CE1BE2F8DD5C_11</vt:lpwstr>
  </property>
  <property fmtid="{D5CDD505-2E9C-101B-9397-08002B2CF9AE}" pid="4" name="KSOTemplateDocerSaveRecord">
    <vt:lpwstr>eyJoZGlkIjoiNzY5NzliMTUwMjYzMjZlM2JlMWRlZGIyYTdmZGIzNDUiLCJ1c2VySWQiOiIzODA3MTQyMjYifQ==</vt:lpwstr>
  </property>
</Properties>
</file>