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E1DBD3C" w14:textId="77777777" w:rsidTr="00215ADD">
        <w:tc>
          <w:tcPr>
            <w:tcW w:w="509" w:type="dxa"/>
          </w:tcPr>
          <w:p w14:paraId="6759281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264BFC4" w14:textId="11DD2F0D"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71975">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10D0269E" w14:textId="77777777" w:rsidTr="00215ADD">
        <w:tc>
          <w:tcPr>
            <w:tcW w:w="509" w:type="dxa"/>
          </w:tcPr>
          <w:p w14:paraId="65F18A6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4C9A9A4" w14:textId="77777777" w:rsidTr="008A173B">
              <w:trPr>
                <w:trHeight w:hRule="exact" w:val="1021"/>
              </w:trPr>
              <w:tc>
                <w:tcPr>
                  <w:tcW w:w="9242" w:type="dxa"/>
                  <w:vAlign w:val="center"/>
                </w:tcPr>
                <w:p w14:paraId="7E566E12" w14:textId="42C3D5B1" w:rsidR="000F4050" w:rsidRDefault="000F4050" w:rsidP="00A075C3">
                  <w:pPr>
                    <w:pStyle w:val="affff5"/>
                    <w:framePr w:w="0" w:hRule="auto" w:wrap="auto" w:hAnchor="text" w:xAlign="left" w:yAlign="inline" w:anchorLock="0"/>
                    <w:ind w:left="420" w:right="624"/>
                    <w:rPr>
                      <w:rFonts w:ascii="宋体" w:hAnsi="宋体" w:hint="eastAsia"/>
                      <w:sz w:val="28"/>
                      <w:szCs w:val="28"/>
                    </w:rPr>
                  </w:pPr>
                </w:p>
              </w:tc>
            </w:tr>
          </w:tbl>
          <w:p w14:paraId="577DD138"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1C6623A3" w14:textId="4ADA5122" w:rsidR="0000040A" w:rsidRPr="00840B3F" w:rsidRDefault="00AE2A69" w:rsidP="00840B3F">
      <w:pPr>
        <w:pStyle w:val="affff6"/>
        <w:framePr w:w="9639" w:h="1437" w:hRule="exact" w:hSpace="181" w:vSpace="181" w:wrap="around" w:hAnchor="page" w:x="1305" w:y="1450"/>
        <w:rPr>
          <w:rFonts w:ascii="黑体" w:eastAsia="黑体" w:hAnsi="黑体" w:hint="eastAsia"/>
          <w:b w:val="0"/>
          <w:bCs w:val="0"/>
          <w:w w:val="100"/>
          <w:sz w:val="72"/>
          <w:szCs w:val="72"/>
        </w:rPr>
      </w:pPr>
      <w:bookmarkStart w:id="2" w:name="_Hlk26473981"/>
      <w:r w:rsidRPr="00840B3F">
        <w:rPr>
          <w:rFonts w:ascii="黑体" w:eastAsia="黑体" w:hint="eastAsia"/>
          <w:b w:val="0"/>
          <w:w w:val="100"/>
          <w:sz w:val="72"/>
          <w:szCs w:val="72"/>
        </w:rPr>
        <w:t>团体</w:t>
      </w:r>
      <w:r w:rsidR="007B7453" w:rsidRPr="00840B3F">
        <w:rPr>
          <w:rFonts w:ascii="黑体" w:eastAsia="黑体" w:hAnsi="黑体" w:hint="eastAsia"/>
          <w:b w:val="0"/>
          <w:bCs w:val="0"/>
          <w:w w:val="100"/>
          <w:sz w:val="72"/>
          <w:szCs w:val="72"/>
        </w:rPr>
        <w:t>标准</w:t>
      </w:r>
    </w:p>
    <w:bookmarkEnd w:id="2"/>
    <w:p w14:paraId="1571EC73"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B31ED">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4E88AF26"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CB4278F"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B6480D9" wp14:editId="79AFC9C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B8C47"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65E8239"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2B6A67E" w14:textId="40AFEDE0" w:rsidR="006816A4" w:rsidRDefault="00471975" w:rsidP="00463B77">
      <w:pPr>
        <w:pStyle w:val="affffffffff5"/>
        <w:framePr w:h="6974" w:hRule="exact" w:wrap="around" w:x="1419" w:anchorLock="1"/>
        <w:rPr>
          <w:rFonts w:hint="eastAsia"/>
        </w:rPr>
      </w:pPr>
      <w:r>
        <w:rPr>
          <w:rFonts w:hint="eastAsia"/>
        </w:rPr>
        <w:fldChar w:fldCharType="begin">
          <w:ffData>
            <w:name w:val="CSTD_NAME"/>
            <w:enabled/>
            <w:calcOnExit w:val="0"/>
            <w:textInput>
              <w:default w:val="涉氨制冷业安全现状评价导则"/>
            </w:textInput>
          </w:ffData>
        </w:fldChar>
      </w:r>
      <w:bookmarkStart w:id="7" w:name="CSTD_NAME"/>
      <w:r>
        <w:rPr>
          <w:rFonts w:hint="eastAsia"/>
        </w:rPr>
        <w:instrText xml:space="preserve"> </w:instrText>
      </w:r>
      <w:r>
        <w:instrText>FORMTEXT</w:instrText>
      </w:r>
      <w:r>
        <w:rPr>
          <w:rFonts w:hint="eastAsia"/>
        </w:rPr>
        <w:instrText xml:space="preserve"> </w:instrText>
      </w:r>
      <w:r>
        <w:rPr>
          <w:rFonts w:hint="eastAsia"/>
        </w:rPr>
      </w:r>
      <w:r>
        <w:rPr>
          <w:rFonts w:hint="eastAsia"/>
        </w:rPr>
        <w:fldChar w:fldCharType="separate"/>
      </w:r>
      <w:r w:rsidR="008F5B01">
        <w:rPr>
          <w:rFonts w:hint="eastAsia"/>
        </w:rPr>
        <w:t>涉氨制冷业安全现状评价导则</w:t>
      </w:r>
      <w:r>
        <w:rPr>
          <w:rFonts w:hint="eastAsia"/>
        </w:rPr>
        <w:fldChar w:fldCharType="end"/>
      </w:r>
      <w:bookmarkEnd w:id="7"/>
    </w:p>
    <w:p w14:paraId="341DE4D3" w14:textId="77777777" w:rsidR="00815419" w:rsidRPr="00815419" w:rsidRDefault="00815419" w:rsidP="00324EDD">
      <w:pPr>
        <w:framePr w:w="9639" w:h="6974" w:hRule="exact" w:wrap="around" w:vAnchor="page" w:hAnchor="page" w:x="1419" w:y="6408" w:anchorLock="1"/>
        <w:ind w:left="-1418"/>
      </w:pPr>
    </w:p>
    <w:p w14:paraId="79E03D35" w14:textId="7A6D2EA2"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71975">
        <w:rPr>
          <w:rFonts w:eastAsia="黑体" w:hint="eastAsia"/>
          <w:noProof/>
          <w:szCs w:val="28"/>
        </w:rPr>
        <w:t>点击此处添加标准名称的英文译名</w:t>
      </w:r>
      <w:r>
        <w:rPr>
          <w:rFonts w:eastAsia="黑体"/>
          <w:noProof/>
          <w:szCs w:val="28"/>
        </w:rPr>
        <w:fldChar w:fldCharType="end"/>
      </w:r>
      <w:bookmarkEnd w:id="8"/>
    </w:p>
    <w:p w14:paraId="2A9900D5" w14:textId="77777777" w:rsidR="00815419" w:rsidRPr="00324EDD" w:rsidRDefault="00815419" w:rsidP="00324EDD">
      <w:pPr>
        <w:framePr w:w="9639" w:h="6974" w:hRule="exact" w:wrap="around" w:vAnchor="page" w:hAnchor="page" w:x="1419" w:y="6408" w:anchorLock="1"/>
        <w:spacing w:line="760" w:lineRule="exact"/>
        <w:ind w:left="-1418"/>
      </w:pPr>
    </w:p>
    <w:p w14:paraId="4AC1B87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4CF1D01" w14:textId="017DF76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18986C6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2A84933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3B10D4B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FBC3BC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34D3075"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348CE13" w14:textId="77777777" w:rsidR="00A02BAE" w:rsidRPr="00CD50A1" w:rsidRDefault="006A37B9" w:rsidP="00A02BAE">
      <w:pPr>
        <w:rPr>
          <w:rFonts w:ascii="宋体" w:hAnsi="宋体" w:hint="eastAsia"/>
          <w:sz w:val="28"/>
          <w:szCs w:val="28"/>
        </w:rPr>
        <w:sectPr w:rsidR="00A02BAE" w:rsidRPr="00CD50A1" w:rsidSect="00AA4ED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DC423C" wp14:editId="07E5F68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76D5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6B8A373" w14:textId="77777777" w:rsidR="00AA4ED2" w:rsidRDefault="00AA4ED2" w:rsidP="00AA4ED2">
      <w:pPr>
        <w:pStyle w:val="affffff2"/>
        <w:spacing w:after="360"/>
      </w:pPr>
      <w:bookmarkStart w:id="19" w:name="BookMark1"/>
      <w:r w:rsidRPr="00AA4ED2">
        <w:rPr>
          <w:rFonts w:hint="eastAsia"/>
          <w:spacing w:val="320"/>
        </w:rPr>
        <w:lastRenderedPageBreak/>
        <w:t>目</w:t>
      </w:r>
      <w:r>
        <w:rPr>
          <w:rFonts w:hint="eastAsia"/>
        </w:rPr>
        <w:t>次</w:t>
      </w:r>
    </w:p>
    <w:p w14:paraId="7AC7D12D" w14:textId="2A14A319" w:rsidR="00AA4ED2" w:rsidRPr="00AA4ED2" w:rsidRDefault="00AA4ED2">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A4ED2">
        <w:fldChar w:fldCharType="begin"/>
      </w:r>
      <w:r w:rsidRPr="00AA4ED2">
        <w:instrText xml:space="preserve"> TOC \o "1-1" \h </w:instrText>
      </w:r>
      <w:r w:rsidRPr="00AA4ED2">
        <w:fldChar w:fldCharType="separate"/>
      </w:r>
      <w:hyperlink w:anchor="_Toc207878500" w:history="1">
        <w:r w:rsidRPr="00AA4ED2">
          <w:rPr>
            <w:rStyle w:val="affffffe"/>
            <w:rFonts w:hint="eastAsia"/>
            <w:noProof/>
          </w:rPr>
          <w:t>前言</w:t>
        </w:r>
        <w:r w:rsidRPr="00AA4ED2">
          <w:rPr>
            <w:rFonts w:hint="eastAsia"/>
            <w:noProof/>
          </w:rPr>
          <w:tab/>
        </w:r>
        <w:r w:rsidRPr="00AA4ED2">
          <w:rPr>
            <w:rFonts w:hint="eastAsia"/>
            <w:noProof/>
          </w:rPr>
          <w:fldChar w:fldCharType="begin"/>
        </w:r>
        <w:r w:rsidRPr="00AA4ED2">
          <w:rPr>
            <w:rFonts w:hint="eastAsia"/>
            <w:noProof/>
          </w:rPr>
          <w:instrText xml:space="preserve"> </w:instrText>
        </w:r>
        <w:r w:rsidRPr="00AA4ED2">
          <w:rPr>
            <w:noProof/>
          </w:rPr>
          <w:instrText>PAGEREF _Toc207878500 \h</w:instrText>
        </w:r>
        <w:r w:rsidRPr="00AA4ED2">
          <w:rPr>
            <w:rFonts w:hint="eastAsia"/>
            <w:noProof/>
          </w:rPr>
          <w:instrText xml:space="preserve"> </w:instrText>
        </w:r>
        <w:r w:rsidRPr="00AA4ED2">
          <w:rPr>
            <w:rFonts w:hint="eastAsia"/>
            <w:noProof/>
          </w:rPr>
        </w:r>
        <w:r w:rsidRPr="00AA4ED2">
          <w:rPr>
            <w:rFonts w:hint="eastAsia"/>
            <w:noProof/>
          </w:rPr>
          <w:fldChar w:fldCharType="separate"/>
        </w:r>
        <w:r w:rsidR="006B4BDA">
          <w:rPr>
            <w:noProof/>
          </w:rPr>
          <w:t>II</w:t>
        </w:r>
        <w:r w:rsidRPr="00AA4ED2">
          <w:rPr>
            <w:rFonts w:hint="eastAsia"/>
            <w:noProof/>
          </w:rPr>
          <w:fldChar w:fldCharType="end"/>
        </w:r>
      </w:hyperlink>
    </w:p>
    <w:p w14:paraId="5EB0B6B6" w14:textId="110CBD05" w:rsidR="00AA4ED2" w:rsidRPr="00AA4ED2" w:rsidRDefault="00AA4ED2">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878501" w:history="1">
        <w:r w:rsidRPr="00AA4ED2">
          <w:rPr>
            <w:rStyle w:val="affffffe"/>
            <w:rFonts w:hint="eastAsia"/>
            <w:noProof/>
          </w:rPr>
          <w:t>引言</w:t>
        </w:r>
        <w:r w:rsidRPr="00AA4ED2">
          <w:rPr>
            <w:rFonts w:hint="eastAsia"/>
            <w:noProof/>
          </w:rPr>
          <w:tab/>
        </w:r>
        <w:r w:rsidRPr="00AA4ED2">
          <w:rPr>
            <w:rFonts w:hint="eastAsia"/>
            <w:noProof/>
          </w:rPr>
          <w:fldChar w:fldCharType="begin"/>
        </w:r>
        <w:r w:rsidRPr="00AA4ED2">
          <w:rPr>
            <w:rFonts w:hint="eastAsia"/>
            <w:noProof/>
          </w:rPr>
          <w:instrText xml:space="preserve"> </w:instrText>
        </w:r>
        <w:r w:rsidRPr="00AA4ED2">
          <w:rPr>
            <w:noProof/>
          </w:rPr>
          <w:instrText>PAGEREF _Toc207878501 \h</w:instrText>
        </w:r>
        <w:r w:rsidRPr="00AA4ED2">
          <w:rPr>
            <w:rFonts w:hint="eastAsia"/>
            <w:noProof/>
          </w:rPr>
          <w:instrText xml:space="preserve"> </w:instrText>
        </w:r>
        <w:r w:rsidRPr="00AA4ED2">
          <w:rPr>
            <w:rFonts w:hint="eastAsia"/>
            <w:noProof/>
          </w:rPr>
        </w:r>
        <w:r w:rsidRPr="00AA4ED2">
          <w:rPr>
            <w:rFonts w:hint="eastAsia"/>
            <w:noProof/>
          </w:rPr>
          <w:fldChar w:fldCharType="separate"/>
        </w:r>
        <w:r w:rsidR="006B4BDA">
          <w:rPr>
            <w:noProof/>
          </w:rPr>
          <w:t>III</w:t>
        </w:r>
        <w:r w:rsidRPr="00AA4ED2">
          <w:rPr>
            <w:rFonts w:hint="eastAsia"/>
            <w:noProof/>
          </w:rPr>
          <w:fldChar w:fldCharType="end"/>
        </w:r>
      </w:hyperlink>
    </w:p>
    <w:p w14:paraId="3C5E5EA0" w14:textId="78B6C725"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2" w:history="1">
        <w:r w:rsidRPr="00A075C3">
          <w:rPr>
            <w:rStyle w:val="affffffe"/>
            <w:rFonts w:ascii="Times New Roman"/>
            <w:noProof/>
          </w:rPr>
          <w:t xml:space="preserve">1  </w:t>
        </w:r>
        <w:r w:rsidRPr="00A075C3">
          <w:rPr>
            <w:rStyle w:val="affffffe"/>
            <w:rFonts w:ascii="Times New Roman"/>
            <w:noProof/>
          </w:rPr>
          <w:t>范围</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_Toc207878502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1</w:t>
        </w:r>
        <w:r w:rsidRPr="00A075C3">
          <w:rPr>
            <w:rFonts w:ascii="Times New Roman" w:hAnsi="Times New Roman"/>
            <w:noProof/>
          </w:rPr>
          <w:fldChar w:fldCharType="end"/>
        </w:r>
      </w:hyperlink>
    </w:p>
    <w:p w14:paraId="0B60F94B" w14:textId="4F4EF28C"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3" w:history="1">
        <w:r w:rsidRPr="00A075C3">
          <w:rPr>
            <w:rStyle w:val="affffffe"/>
            <w:rFonts w:ascii="Times New Roman"/>
            <w:noProof/>
          </w:rPr>
          <w:t xml:space="preserve">2  </w:t>
        </w:r>
        <w:r w:rsidRPr="00A075C3">
          <w:rPr>
            <w:rStyle w:val="affffffe"/>
            <w:rFonts w:ascii="Times New Roman"/>
            <w:noProof/>
          </w:rPr>
          <w:t>规范性引用文件</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_Toc207878503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1</w:t>
        </w:r>
        <w:r w:rsidRPr="00A075C3">
          <w:rPr>
            <w:rFonts w:ascii="Times New Roman" w:hAnsi="Times New Roman"/>
            <w:noProof/>
          </w:rPr>
          <w:fldChar w:fldCharType="end"/>
        </w:r>
      </w:hyperlink>
    </w:p>
    <w:p w14:paraId="22486B92" w14:textId="4050ECB6"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4" w:history="1">
        <w:r w:rsidRPr="00A075C3">
          <w:rPr>
            <w:rStyle w:val="affffffe"/>
            <w:rFonts w:ascii="Times New Roman"/>
            <w:noProof/>
          </w:rPr>
          <w:t xml:space="preserve">3  </w:t>
        </w:r>
        <w:r w:rsidRPr="00A075C3">
          <w:rPr>
            <w:rStyle w:val="affffffe"/>
            <w:rFonts w:ascii="Times New Roman"/>
            <w:noProof/>
          </w:rPr>
          <w:t>术语和定义</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_Toc207878504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1</w:t>
        </w:r>
        <w:r w:rsidRPr="00A075C3">
          <w:rPr>
            <w:rFonts w:ascii="Times New Roman" w:hAnsi="Times New Roman"/>
            <w:noProof/>
          </w:rPr>
          <w:fldChar w:fldCharType="end"/>
        </w:r>
      </w:hyperlink>
    </w:p>
    <w:p w14:paraId="4F5371CA" w14:textId="3B69F20A"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5" w:history="1">
        <w:r w:rsidRPr="00A075C3">
          <w:rPr>
            <w:rStyle w:val="affffffe"/>
            <w:rFonts w:ascii="Times New Roman"/>
            <w:bCs/>
            <w:noProof/>
          </w:rPr>
          <w:t xml:space="preserve">4 </w:t>
        </w:r>
        <w:r w:rsidRPr="00A075C3">
          <w:rPr>
            <w:rStyle w:val="affffffe"/>
            <w:rFonts w:ascii="Times New Roman"/>
            <w:noProof/>
          </w:rPr>
          <w:t xml:space="preserve"> </w:t>
        </w:r>
        <w:r w:rsidRPr="00A075C3">
          <w:rPr>
            <w:rStyle w:val="affffffe"/>
            <w:rFonts w:ascii="Times New Roman"/>
            <w:noProof/>
          </w:rPr>
          <w:t>安全评价程序</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_Toc207878505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2</w:t>
        </w:r>
        <w:r w:rsidRPr="00A075C3">
          <w:rPr>
            <w:rFonts w:ascii="Times New Roman" w:hAnsi="Times New Roman"/>
            <w:noProof/>
          </w:rPr>
          <w:fldChar w:fldCharType="end"/>
        </w:r>
      </w:hyperlink>
    </w:p>
    <w:p w14:paraId="4F414399" w14:textId="595A74A2"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6" w:history="1">
        <w:r w:rsidRPr="00A075C3">
          <w:rPr>
            <w:rStyle w:val="affffffe"/>
            <w:rFonts w:ascii="Times New Roman"/>
            <w:bCs/>
            <w:noProof/>
          </w:rPr>
          <w:t xml:space="preserve">5 </w:t>
        </w:r>
        <w:r w:rsidRPr="00A075C3">
          <w:rPr>
            <w:rStyle w:val="affffffe"/>
            <w:rFonts w:ascii="Times New Roman"/>
            <w:noProof/>
          </w:rPr>
          <w:t xml:space="preserve"> </w:t>
        </w:r>
        <w:r w:rsidRPr="00A075C3">
          <w:rPr>
            <w:rStyle w:val="affffffe"/>
            <w:rFonts w:ascii="Times New Roman"/>
            <w:noProof/>
          </w:rPr>
          <w:t>安全评价内容与要求</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_Toc207878506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2</w:t>
        </w:r>
        <w:r w:rsidRPr="00A075C3">
          <w:rPr>
            <w:rFonts w:ascii="Times New Roman" w:hAnsi="Times New Roman"/>
            <w:noProof/>
          </w:rPr>
          <w:fldChar w:fldCharType="end"/>
        </w:r>
      </w:hyperlink>
    </w:p>
    <w:p w14:paraId="15CB3008" w14:textId="718F6ACC" w:rsidR="00AA4ED2" w:rsidRPr="00A075C3" w:rsidRDefault="00AA4ED2">
      <w:pPr>
        <w:pStyle w:val="TOC1"/>
        <w:tabs>
          <w:tab w:val="right" w:leader="dot" w:pos="9344"/>
        </w:tabs>
        <w:rPr>
          <w:rFonts w:ascii="Times New Roman" w:eastAsiaTheme="minorEastAsia" w:hAnsi="Times New Roman"/>
          <w:noProof/>
          <w:sz w:val="22"/>
          <w:szCs w:val="24"/>
          <w14:ligatures w14:val="standardContextual"/>
        </w:rPr>
      </w:pPr>
      <w:hyperlink w:anchor="_Toc207878507" w:history="1">
        <w:r w:rsidRPr="00A075C3">
          <w:rPr>
            <w:rStyle w:val="affffffe"/>
            <w:rFonts w:ascii="Times New Roman"/>
            <w:bCs/>
            <w:noProof/>
          </w:rPr>
          <w:t xml:space="preserve">6 </w:t>
        </w:r>
        <w:r w:rsidRPr="00A075C3">
          <w:rPr>
            <w:rStyle w:val="affffffe"/>
            <w:rFonts w:ascii="Times New Roman"/>
            <w:noProof/>
          </w:rPr>
          <w:t xml:space="preserve"> </w:t>
        </w:r>
        <w:r w:rsidRPr="00A075C3">
          <w:rPr>
            <w:rStyle w:val="affffffe"/>
            <w:rFonts w:ascii="Times New Roman"/>
            <w:noProof/>
          </w:rPr>
          <w:t>报告编制</w:t>
        </w:r>
        <w:r w:rsidRPr="00A075C3">
          <w:rPr>
            <w:rFonts w:ascii="Times New Roman" w:hAnsi="Times New Roman"/>
            <w:noProof/>
          </w:rPr>
          <w:tab/>
        </w:r>
        <w:r w:rsidRPr="00A075C3">
          <w:rPr>
            <w:rFonts w:ascii="Times New Roman" w:hAnsi="Times New Roman"/>
            <w:noProof/>
          </w:rPr>
          <w:fldChar w:fldCharType="begin"/>
        </w:r>
        <w:r w:rsidRPr="00A075C3">
          <w:rPr>
            <w:rFonts w:ascii="Times New Roman" w:hAnsi="Times New Roman"/>
            <w:noProof/>
          </w:rPr>
          <w:instrText xml:space="preserve"> PAGEREF _Toc207878507 \h </w:instrText>
        </w:r>
        <w:r w:rsidRPr="00A075C3">
          <w:rPr>
            <w:rFonts w:ascii="Times New Roman" w:hAnsi="Times New Roman"/>
            <w:noProof/>
          </w:rPr>
        </w:r>
        <w:r w:rsidRPr="00A075C3">
          <w:rPr>
            <w:rFonts w:ascii="Times New Roman" w:hAnsi="Times New Roman"/>
            <w:noProof/>
          </w:rPr>
          <w:fldChar w:fldCharType="separate"/>
        </w:r>
        <w:r w:rsidR="006B4BDA">
          <w:rPr>
            <w:rFonts w:ascii="Times New Roman" w:hAnsi="Times New Roman"/>
            <w:noProof/>
          </w:rPr>
          <w:t>3</w:t>
        </w:r>
        <w:r w:rsidRPr="00A075C3">
          <w:rPr>
            <w:rFonts w:ascii="Times New Roman" w:hAnsi="Times New Roman"/>
            <w:noProof/>
          </w:rPr>
          <w:fldChar w:fldCharType="end"/>
        </w:r>
      </w:hyperlink>
    </w:p>
    <w:p w14:paraId="34F3C18E" w14:textId="2EFE6884" w:rsidR="00AA4ED2" w:rsidRPr="00AA4ED2" w:rsidRDefault="00AA4ED2" w:rsidP="00AA4ED2">
      <w:pPr>
        <w:pStyle w:val="affffff2"/>
        <w:spacing w:after="360"/>
        <w:sectPr w:rsidR="00AA4ED2" w:rsidRPr="00AA4ED2" w:rsidSect="00AA4ED2">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linePitch="312"/>
        </w:sectPr>
      </w:pPr>
      <w:r w:rsidRPr="00AA4ED2">
        <w:fldChar w:fldCharType="end"/>
      </w:r>
    </w:p>
    <w:p w14:paraId="08EE6AF8" w14:textId="77777777" w:rsidR="00471975" w:rsidRDefault="00471975" w:rsidP="00EE0FA8">
      <w:pPr>
        <w:pStyle w:val="a6"/>
        <w:spacing w:before="900" w:after="360"/>
        <w:ind w:left="0" w:firstLine="0"/>
      </w:pPr>
      <w:bookmarkStart w:id="20" w:name="_Toc207878500"/>
      <w:bookmarkStart w:id="21" w:name="BookMark2"/>
      <w:bookmarkEnd w:id="19"/>
      <w:r w:rsidRPr="00471975">
        <w:rPr>
          <w:rFonts w:hint="eastAsia"/>
          <w:spacing w:val="320"/>
        </w:rPr>
        <w:lastRenderedPageBreak/>
        <w:t>前</w:t>
      </w:r>
      <w:r>
        <w:rPr>
          <w:rFonts w:hint="eastAsia"/>
        </w:rPr>
        <w:t>言</w:t>
      </w:r>
      <w:bookmarkEnd w:id="20"/>
    </w:p>
    <w:p w14:paraId="6F65DF12" w14:textId="77777777" w:rsidR="00471975" w:rsidRDefault="00471975" w:rsidP="00471975">
      <w:pPr>
        <w:pStyle w:val="affffb"/>
        <w:ind w:firstLine="420"/>
      </w:pPr>
      <w:bookmarkStart w:id="22" w:name="_Hlk207878588"/>
      <w:r>
        <w:rPr>
          <w:rFonts w:hint="eastAsia"/>
        </w:rPr>
        <w:t>本文件按</w:t>
      </w:r>
      <w:r w:rsidRPr="00EE0FA8">
        <w:rPr>
          <w:rFonts w:ascii="Times New Roman"/>
        </w:rPr>
        <w:t>照</w:t>
      </w:r>
      <w:r w:rsidRPr="00EE0FA8">
        <w:rPr>
          <w:rFonts w:ascii="Times New Roman"/>
        </w:rPr>
        <w:t>GB/T 1.1—2020</w:t>
      </w:r>
      <w:r w:rsidRPr="00EE0FA8">
        <w:rPr>
          <w:rFonts w:ascii="Times New Roman"/>
        </w:rPr>
        <w:t>《标准化工作导则</w:t>
      </w:r>
      <w:r w:rsidRPr="00EE0FA8">
        <w:rPr>
          <w:rFonts w:ascii="Times New Roman"/>
        </w:rPr>
        <w:t xml:space="preserve">  </w:t>
      </w:r>
      <w:r w:rsidRPr="00EE0FA8">
        <w:rPr>
          <w:rFonts w:ascii="Times New Roman"/>
        </w:rPr>
        <w:t>第</w:t>
      </w:r>
      <w:r w:rsidRPr="00EE0FA8">
        <w:rPr>
          <w:rFonts w:ascii="Times New Roman"/>
        </w:rPr>
        <w:t>1</w:t>
      </w:r>
      <w:r w:rsidRPr="00EE0FA8">
        <w:rPr>
          <w:rFonts w:ascii="Times New Roman"/>
        </w:rPr>
        <w:t>部分：</w:t>
      </w:r>
      <w:r>
        <w:rPr>
          <w:rFonts w:hint="eastAsia"/>
        </w:rPr>
        <w:t>标准化文件的结构和起草规则》的规定起草。</w:t>
      </w:r>
    </w:p>
    <w:p w14:paraId="40D26924" w14:textId="7E5C0B5D" w:rsidR="00471975" w:rsidRDefault="00471975" w:rsidP="00471975">
      <w:pPr>
        <w:pStyle w:val="affffb"/>
        <w:ind w:firstLine="420"/>
      </w:pPr>
      <w:r w:rsidRPr="00471975">
        <w:rPr>
          <w:rFonts w:hint="eastAsia"/>
        </w:rPr>
        <w:t>请注意本文件的某些内容可能涉及专利。本文件的发布机构不承担识别专利的责任。</w:t>
      </w:r>
    </w:p>
    <w:bookmarkEnd w:id="22"/>
    <w:p w14:paraId="33E44674" w14:textId="66AD5795" w:rsidR="00471975" w:rsidRDefault="00471975" w:rsidP="00471975">
      <w:pPr>
        <w:pStyle w:val="affffb"/>
        <w:ind w:firstLine="420"/>
      </w:pPr>
      <w:r>
        <w:rPr>
          <w:rFonts w:hint="eastAsia"/>
        </w:rPr>
        <w:t>本文件由</w:t>
      </w:r>
      <w:r w:rsidRPr="00471975">
        <w:rPr>
          <w:rFonts w:hint="eastAsia"/>
        </w:rPr>
        <w:t>宁波华东安全科技服务有限公司、舟山市应急管理局、浙江省应急管理科学研究院</w:t>
      </w:r>
      <w:r>
        <w:rPr>
          <w:rFonts w:hint="eastAsia"/>
        </w:rPr>
        <w:t>提出。</w:t>
      </w:r>
    </w:p>
    <w:p w14:paraId="365E7371" w14:textId="088126FD" w:rsidR="00471975" w:rsidRDefault="00471975" w:rsidP="00471975">
      <w:pPr>
        <w:pStyle w:val="affffb"/>
        <w:ind w:firstLine="420"/>
      </w:pPr>
      <w:bookmarkStart w:id="23" w:name="_Hlk207878617"/>
      <w:r w:rsidRPr="00471975">
        <w:rPr>
          <w:rFonts w:hint="eastAsia"/>
        </w:rPr>
        <w:t>本文件由</w:t>
      </w:r>
      <w:r w:rsidR="0072326C" w:rsidRPr="0072326C">
        <w:rPr>
          <w:rFonts w:hint="eastAsia"/>
        </w:rPr>
        <w:t>浙江省安全生产协会安全评价专业委员会</w:t>
      </w:r>
      <w:r w:rsidRPr="00471975">
        <w:rPr>
          <w:rFonts w:hint="eastAsia"/>
        </w:rPr>
        <w:t>归口。</w:t>
      </w:r>
    </w:p>
    <w:bookmarkEnd w:id="23"/>
    <w:p w14:paraId="09F0B4F9" w14:textId="23511999" w:rsidR="00471975" w:rsidRDefault="00471975" w:rsidP="00471975">
      <w:pPr>
        <w:pStyle w:val="affffb"/>
        <w:ind w:firstLine="420"/>
      </w:pPr>
      <w:r>
        <w:rPr>
          <w:rFonts w:hint="eastAsia"/>
        </w:rPr>
        <w:t>本文件起草单位：</w:t>
      </w:r>
      <w:r w:rsidRPr="00471975">
        <w:rPr>
          <w:rFonts w:hint="eastAsia"/>
        </w:rPr>
        <w:t>宁波华东安全科技服务有限公司、舟山市应急管理局、浙江省应急管理科学研究院、宁波工程学院。</w:t>
      </w:r>
    </w:p>
    <w:p w14:paraId="55958C0A" w14:textId="72484357" w:rsidR="00471975" w:rsidRDefault="00471975" w:rsidP="00471975">
      <w:pPr>
        <w:pStyle w:val="affffb"/>
        <w:ind w:firstLine="420"/>
      </w:pPr>
      <w:r>
        <w:rPr>
          <w:rFonts w:hint="eastAsia"/>
        </w:rPr>
        <w:t>本文件主要起草人：</w:t>
      </w:r>
      <w:r w:rsidRPr="00471975">
        <w:rPr>
          <w:rFonts w:hint="eastAsia"/>
        </w:rPr>
        <w:t>龚昉、徐欣、张均、张晓辉、许婵娟、唐雨婕、陈丽霞、娄和武、陈莺梅、黄辉。</w:t>
      </w:r>
    </w:p>
    <w:p w14:paraId="62546867" w14:textId="59CBC0D8" w:rsidR="00471975" w:rsidRDefault="00471975" w:rsidP="00471975">
      <w:pPr>
        <w:pStyle w:val="affffb"/>
        <w:ind w:firstLine="420"/>
      </w:pPr>
      <w:r w:rsidRPr="00471975">
        <w:rPr>
          <w:rFonts w:hint="eastAsia"/>
        </w:rPr>
        <w:t>本文件为首次发布。</w:t>
      </w:r>
    </w:p>
    <w:p w14:paraId="03F87401" w14:textId="725B72A5" w:rsidR="00471975" w:rsidRPr="00471975" w:rsidRDefault="00471975" w:rsidP="00471975">
      <w:pPr>
        <w:pStyle w:val="affffb"/>
        <w:ind w:firstLine="420"/>
        <w:sectPr w:rsidR="00471975" w:rsidRPr="00471975" w:rsidSect="00AA4ED2">
          <w:headerReference w:type="even" r:id="rId18"/>
          <w:headerReference w:type="default" r:id="rId19"/>
          <w:footerReference w:type="even" r:id="rId20"/>
          <w:footerReference w:type="default" r:id="rId21"/>
          <w:pgSz w:w="11906" w:h="16838" w:code="9"/>
          <w:pgMar w:top="1928" w:right="1134" w:bottom="1134" w:left="1134" w:header="1418" w:footer="1134" w:gutter="284"/>
          <w:pgNumType w:fmt="upperRoman"/>
          <w:cols w:space="425"/>
          <w:formProt w:val="0"/>
          <w:docGrid w:linePitch="312"/>
        </w:sectPr>
      </w:pPr>
    </w:p>
    <w:p w14:paraId="054909B5" w14:textId="77777777" w:rsidR="00471975" w:rsidRDefault="00471975" w:rsidP="00EE0FA8">
      <w:pPr>
        <w:pStyle w:val="a6"/>
        <w:spacing w:after="360"/>
        <w:ind w:left="0" w:firstLine="0"/>
      </w:pPr>
      <w:bookmarkStart w:id="24" w:name="_Toc207878501"/>
      <w:bookmarkStart w:id="25" w:name="BookMark3"/>
      <w:bookmarkEnd w:id="21"/>
      <w:r w:rsidRPr="00471975">
        <w:rPr>
          <w:rFonts w:hint="eastAsia"/>
          <w:spacing w:val="320"/>
        </w:rPr>
        <w:lastRenderedPageBreak/>
        <w:t>引</w:t>
      </w:r>
      <w:r>
        <w:rPr>
          <w:rFonts w:hint="eastAsia"/>
        </w:rPr>
        <w:t>言</w:t>
      </w:r>
      <w:bookmarkEnd w:id="24"/>
    </w:p>
    <w:p w14:paraId="59020BA4" w14:textId="77777777" w:rsidR="00471975" w:rsidRPr="008F5B01" w:rsidRDefault="00471975" w:rsidP="00471975">
      <w:pPr>
        <w:pStyle w:val="affffb"/>
        <w:ind w:firstLine="420"/>
        <w:rPr>
          <w:rFonts w:ascii="Times New Roman"/>
        </w:rPr>
      </w:pPr>
      <w:r w:rsidRPr="008F5B01">
        <w:rPr>
          <w:rFonts w:ascii="Times New Roman"/>
        </w:rPr>
        <w:t>本规范在《安全评价通则》（</w:t>
      </w:r>
      <w:r w:rsidRPr="008F5B01">
        <w:rPr>
          <w:rFonts w:ascii="Times New Roman"/>
        </w:rPr>
        <w:t>AQ8001</w:t>
      </w:r>
      <w:r w:rsidRPr="008F5B01">
        <w:rPr>
          <w:rFonts w:ascii="Times New Roman"/>
        </w:rPr>
        <w:t>）框架下制定，目的是回归风险评价本源，通过安全评价，提升涉氨制冷企业本质安全程度和安全风险管控水平，将安全评价工作全面融入新时代的安全生产和应急管理事业中。本规范的主要创新点有：</w:t>
      </w:r>
    </w:p>
    <w:p w14:paraId="3E8573FC" w14:textId="77777777" w:rsidR="00471975" w:rsidRPr="008F5B01" w:rsidRDefault="00471975" w:rsidP="00471975">
      <w:pPr>
        <w:pStyle w:val="affffb"/>
        <w:ind w:firstLine="420"/>
        <w:rPr>
          <w:rFonts w:ascii="Times New Roman"/>
        </w:rPr>
      </w:pPr>
      <w:r w:rsidRPr="008F5B01">
        <w:rPr>
          <w:rFonts w:ascii="Times New Roman"/>
        </w:rPr>
        <w:t>a</w:t>
      </w:r>
      <w:r w:rsidRPr="008F5B01">
        <w:rPr>
          <w:rFonts w:ascii="Times New Roman"/>
        </w:rPr>
        <w:t>）引入风险点概念，减少和避免安全评价报告中的疏漏；</w:t>
      </w:r>
    </w:p>
    <w:p w14:paraId="20BF697C" w14:textId="77777777" w:rsidR="00471975" w:rsidRPr="008F5B01" w:rsidRDefault="00471975" w:rsidP="00471975">
      <w:pPr>
        <w:pStyle w:val="affffb"/>
        <w:ind w:firstLine="420"/>
        <w:rPr>
          <w:rFonts w:ascii="Times New Roman"/>
        </w:rPr>
      </w:pPr>
      <w:r w:rsidRPr="008F5B01">
        <w:rPr>
          <w:rFonts w:ascii="Times New Roman"/>
        </w:rPr>
        <w:t>b</w:t>
      </w:r>
      <w:r w:rsidRPr="008F5B01">
        <w:rPr>
          <w:rFonts w:ascii="Times New Roman"/>
        </w:rPr>
        <w:t>）通过分析风险点中各危险源失控和后果出现两方面进行诱因分析，提升危险源分析全面性和针对性；</w:t>
      </w:r>
    </w:p>
    <w:p w14:paraId="7CF71973" w14:textId="6A3E72D7" w:rsidR="00471975" w:rsidRPr="008F5B01" w:rsidRDefault="00471975" w:rsidP="00471975">
      <w:pPr>
        <w:pStyle w:val="affffb"/>
        <w:ind w:firstLine="420"/>
        <w:rPr>
          <w:rFonts w:ascii="Times New Roman"/>
        </w:rPr>
      </w:pPr>
      <w:r w:rsidRPr="008F5B01">
        <w:rPr>
          <w:rFonts w:ascii="Times New Roman"/>
        </w:rPr>
        <w:t>c</w:t>
      </w:r>
      <w:r w:rsidRPr="008F5B01">
        <w:rPr>
          <w:rFonts w:ascii="Times New Roman"/>
        </w:rPr>
        <w:t>）将风险点中各危险源失控原因与管控措施相对应，进行安全检查表法进行评价，使安全检查表法具有更强的针对性。</w:t>
      </w:r>
    </w:p>
    <w:p w14:paraId="314A28AA" w14:textId="77777777" w:rsidR="00471975" w:rsidRPr="008F5B01" w:rsidRDefault="00471975" w:rsidP="00471975">
      <w:pPr>
        <w:pStyle w:val="affffb"/>
        <w:ind w:firstLine="420"/>
        <w:rPr>
          <w:rFonts w:ascii="Times New Roman"/>
        </w:rPr>
      </w:pPr>
    </w:p>
    <w:p w14:paraId="2A8B63C6" w14:textId="4C0AA75C" w:rsidR="00471975" w:rsidRPr="00471975" w:rsidRDefault="00471975" w:rsidP="00471975">
      <w:pPr>
        <w:pStyle w:val="affffb"/>
        <w:ind w:firstLine="420"/>
        <w:sectPr w:rsidR="00471975" w:rsidRPr="00471975" w:rsidSect="00AA4ED2">
          <w:headerReference w:type="even" r:id="rId22"/>
          <w:headerReference w:type="default" r:id="rId23"/>
          <w:footerReference w:type="even" r:id="rId24"/>
          <w:footerReference w:type="default" r:id="rId25"/>
          <w:pgSz w:w="11906" w:h="16838" w:code="9"/>
          <w:pgMar w:top="1928" w:right="1134" w:bottom="1134" w:left="1134" w:header="1418" w:footer="1134" w:gutter="284"/>
          <w:pgNumType w:fmt="upperRoman"/>
          <w:cols w:space="425"/>
          <w:formProt w:val="0"/>
          <w:docGrid w:linePitch="312"/>
        </w:sectPr>
      </w:pPr>
    </w:p>
    <w:p w14:paraId="1B167304"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4747183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65B5DCE6B224DC2B7B112815FE7E43B"/>
        </w:placeholder>
      </w:sdtPr>
      <w:sdtEndPr/>
      <w:sdtContent>
        <w:bookmarkStart w:id="27" w:name="NEW_STAND_NAME" w:displacedByCustomXml="prev"/>
        <w:p w14:paraId="0D7852C5" w14:textId="3B27053C" w:rsidR="00F26B7E" w:rsidRPr="00F26B7E" w:rsidRDefault="008F5B01" w:rsidP="008F5B01">
          <w:pPr>
            <w:pStyle w:val="afffffffff8"/>
            <w:spacing w:beforeLines="1" w:before="2" w:afterLines="220" w:after="528"/>
            <w:rPr>
              <w:rFonts w:hint="eastAsia"/>
            </w:rPr>
          </w:pPr>
          <w:r w:rsidRPr="008F5B01">
            <w:rPr>
              <w:rFonts w:hint="eastAsia"/>
            </w:rPr>
            <w:t>涉氨制冷业安全现状评价导则</w:t>
          </w:r>
        </w:p>
      </w:sdtContent>
    </w:sdt>
    <w:bookmarkEnd w:id="27" w:displacedByCustomXml="prev"/>
    <w:p w14:paraId="5C0BF4CE"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207878502"/>
      <w:r>
        <w:rPr>
          <w:rFonts w:hint="eastAsia"/>
        </w:rPr>
        <w:t>范围</w:t>
      </w:r>
      <w:bookmarkEnd w:id="28"/>
      <w:bookmarkEnd w:id="29"/>
      <w:bookmarkEnd w:id="30"/>
      <w:bookmarkEnd w:id="31"/>
      <w:bookmarkEnd w:id="32"/>
      <w:bookmarkEnd w:id="33"/>
      <w:bookmarkEnd w:id="34"/>
      <w:bookmarkEnd w:id="35"/>
      <w:bookmarkEnd w:id="36"/>
      <w:bookmarkEnd w:id="37"/>
    </w:p>
    <w:p w14:paraId="0F46BBE5" w14:textId="77777777" w:rsidR="00471975" w:rsidRDefault="00471975" w:rsidP="00471975">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本文件规定了涉氨制冷企业安全现状评价的程序、内容、方法以及安全评价报告的编制要求。</w:t>
      </w:r>
    </w:p>
    <w:p w14:paraId="51BB673D" w14:textId="27A306ED" w:rsidR="008B0C9C" w:rsidRDefault="00471975" w:rsidP="00471975">
      <w:pPr>
        <w:pStyle w:val="affffb"/>
        <w:ind w:firstLine="420"/>
      </w:pPr>
      <w:r>
        <w:rPr>
          <w:rFonts w:hint="eastAsia"/>
        </w:rPr>
        <w:t>本文件适用于使用氨制冷系统的企业（如水产品加工、蔬菜加工、肉制品及副产品加工、速冻食品制造、冷冻饮品及食用冰制）的安全现状评价工作。</w:t>
      </w:r>
    </w:p>
    <w:p w14:paraId="1D747849" w14:textId="77777777"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207878503"/>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AA1A8DA16C3840929C9E55BF387E7D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8375C4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9A585B" w14:textId="77777777" w:rsidR="00471975" w:rsidRPr="00EE0FA8" w:rsidRDefault="00471975" w:rsidP="00471975">
      <w:pPr>
        <w:pStyle w:val="affffb"/>
        <w:ind w:firstLine="420"/>
        <w:rPr>
          <w:rFonts w:ascii="Times New Roman"/>
        </w:rPr>
      </w:pPr>
      <w:r>
        <w:rPr>
          <w:rFonts w:hint="eastAsia"/>
        </w:rPr>
        <w:t>G</w:t>
      </w:r>
      <w:r w:rsidRPr="00EE0FA8">
        <w:rPr>
          <w:rFonts w:ascii="Times New Roman"/>
        </w:rPr>
        <w:t xml:space="preserve">B/T 23694  </w:t>
      </w:r>
      <w:r w:rsidRPr="00EE0FA8">
        <w:rPr>
          <w:rFonts w:ascii="Times New Roman"/>
        </w:rPr>
        <w:t>风险管理</w:t>
      </w:r>
      <w:r w:rsidRPr="00EE0FA8">
        <w:rPr>
          <w:rFonts w:ascii="Times New Roman"/>
        </w:rPr>
        <w:t xml:space="preserve"> </w:t>
      </w:r>
      <w:r w:rsidRPr="00EE0FA8">
        <w:rPr>
          <w:rFonts w:ascii="Times New Roman"/>
        </w:rPr>
        <w:t>术语</w:t>
      </w:r>
    </w:p>
    <w:p w14:paraId="3E3C7918" w14:textId="77777777" w:rsidR="00471975" w:rsidRPr="00EE0FA8" w:rsidRDefault="00471975" w:rsidP="00471975">
      <w:pPr>
        <w:pStyle w:val="affffb"/>
        <w:ind w:firstLine="420"/>
        <w:rPr>
          <w:rFonts w:ascii="Times New Roman"/>
        </w:rPr>
      </w:pPr>
      <w:r w:rsidRPr="00EE0FA8">
        <w:rPr>
          <w:rFonts w:ascii="Times New Roman"/>
        </w:rPr>
        <w:t xml:space="preserve">GB/T 27921  </w:t>
      </w:r>
      <w:r w:rsidRPr="00EE0FA8">
        <w:rPr>
          <w:rFonts w:ascii="Times New Roman"/>
        </w:rPr>
        <w:t>风险管理</w:t>
      </w:r>
      <w:r w:rsidRPr="00EE0FA8">
        <w:rPr>
          <w:rFonts w:ascii="Times New Roman"/>
        </w:rPr>
        <w:t xml:space="preserve"> </w:t>
      </w:r>
      <w:r w:rsidRPr="00EE0FA8">
        <w:rPr>
          <w:rFonts w:ascii="Times New Roman"/>
        </w:rPr>
        <w:t>风险评估技术</w:t>
      </w:r>
    </w:p>
    <w:p w14:paraId="22F2BF73" w14:textId="77777777" w:rsidR="00471975" w:rsidRPr="00EE0FA8" w:rsidRDefault="00471975" w:rsidP="00471975">
      <w:pPr>
        <w:pStyle w:val="affffb"/>
        <w:ind w:firstLine="420"/>
        <w:rPr>
          <w:rFonts w:ascii="Times New Roman"/>
        </w:rPr>
      </w:pPr>
      <w:r w:rsidRPr="00EE0FA8">
        <w:rPr>
          <w:rFonts w:ascii="Times New Roman"/>
        </w:rPr>
        <w:t xml:space="preserve">GB/T 28009  </w:t>
      </w:r>
      <w:r w:rsidRPr="00EE0FA8">
        <w:rPr>
          <w:rFonts w:ascii="Times New Roman"/>
        </w:rPr>
        <w:t>冷库安全规程</w:t>
      </w:r>
    </w:p>
    <w:p w14:paraId="55A76522" w14:textId="77777777" w:rsidR="00471975" w:rsidRPr="00EE0FA8" w:rsidRDefault="00471975" w:rsidP="00471975">
      <w:pPr>
        <w:pStyle w:val="affffb"/>
        <w:ind w:firstLine="420"/>
        <w:rPr>
          <w:rFonts w:ascii="Times New Roman"/>
        </w:rPr>
      </w:pPr>
      <w:r w:rsidRPr="00EE0FA8">
        <w:rPr>
          <w:rFonts w:ascii="Times New Roman"/>
        </w:rPr>
        <w:t xml:space="preserve">GB 50016    </w:t>
      </w:r>
      <w:r w:rsidRPr="00EE0FA8">
        <w:rPr>
          <w:rFonts w:ascii="Times New Roman"/>
        </w:rPr>
        <w:t>建筑设计防火规范</w:t>
      </w:r>
    </w:p>
    <w:p w14:paraId="11DFB8B3" w14:textId="77777777" w:rsidR="00471975" w:rsidRPr="00EE0FA8" w:rsidRDefault="00471975" w:rsidP="00471975">
      <w:pPr>
        <w:pStyle w:val="affffb"/>
        <w:ind w:firstLine="420"/>
        <w:rPr>
          <w:rFonts w:ascii="Times New Roman"/>
        </w:rPr>
      </w:pPr>
      <w:r w:rsidRPr="00EE0FA8">
        <w:rPr>
          <w:rFonts w:ascii="Times New Roman"/>
        </w:rPr>
        <w:t xml:space="preserve">GB 50072    </w:t>
      </w:r>
      <w:r w:rsidRPr="00EE0FA8">
        <w:rPr>
          <w:rFonts w:ascii="Times New Roman"/>
        </w:rPr>
        <w:t>冷库设计标准</w:t>
      </w:r>
    </w:p>
    <w:p w14:paraId="0397A780" w14:textId="77777777" w:rsidR="00B91B1A" w:rsidRDefault="00471975" w:rsidP="00B91B1A">
      <w:pPr>
        <w:pStyle w:val="affffb"/>
        <w:ind w:firstLine="420"/>
      </w:pPr>
      <w:r w:rsidRPr="00EE0FA8">
        <w:rPr>
          <w:rFonts w:ascii="Times New Roman"/>
        </w:rPr>
        <w:t xml:space="preserve">GB 50187    </w:t>
      </w:r>
      <w:r w:rsidRPr="00EE0FA8">
        <w:rPr>
          <w:rFonts w:ascii="Times New Roman"/>
        </w:rPr>
        <w:t>工业企</w:t>
      </w:r>
      <w:r>
        <w:rPr>
          <w:rFonts w:hint="eastAsia"/>
        </w:rPr>
        <w:t>业总平面设计规范</w:t>
      </w:r>
    </w:p>
    <w:p w14:paraId="18CD69A8" w14:textId="7CEBF80B" w:rsidR="00B91B1A" w:rsidRPr="00EE0FA8" w:rsidRDefault="00B91B1A" w:rsidP="00B91B1A">
      <w:pPr>
        <w:pStyle w:val="affffb"/>
        <w:ind w:firstLine="420"/>
        <w:rPr>
          <w:rFonts w:ascii="Times New Roman"/>
        </w:rPr>
      </w:pPr>
      <w:r w:rsidRPr="00EE0FA8">
        <w:rPr>
          <w:rFonts w:ascii="Times New Roman"/>
        </w:rPr>
        <w:t xml:space="preserve">AQ 8001     </w:t>
      </w:r>
      <w:r w:rsidRPr="00EE0FA8">
        <w:rPr>
          <w:rFonts w:ascii="Times New Roman"/>
        </w:rPr>
        <w:t>安全评价通则</w:t>
      </w:r>
    </w:p>
    <w:p w14:paraId="1EDC5F92" w14:textId="4B7BD979" w:rsidR="00AA6EC9" w:rsidRPr="00B91B1A" w:rsidRDefault="00B91B1A" w:rsidP="00B91B1A">
      <w:pPr>
        <w:pStyle w:val="affffb"/>
        <w:ind w:firstLine="420"/>
        <w:rPr>
          <w:rFonts w:ascii="Times New Roman" w:hint="eastAsia"/>
        </w:rPr>
      </w:pPr>
      <w:r w:rsidRPr="00EE0FA8">
        <w:rPr>
          <w:rFonts w:ascii="Times New Roman"/>
        </w:rPr>
        <w:t xml:space="preserve">AQ 7015     </w:t>
      </w:r>
      <w:r w:rsidRPr="00EE0FA8">
        <w:rPr>
          <w:rFonts w:ascii="Times New Roman"/>
        </w:rPr>
        <w:t>氨制冷企业安全规范</w:t>
      </w:r>
    </w:p>
    <w:p w14:paraId="074B31F8" w14:textId="77777777" w:rsidR="00B265BC" w:rsidRPr="00E030F9" w:rsidRDefault="00FD59EB" w:rsidP="00FD59EB">
      <w:pPr>
        <w:pStyle w:val="affc"/>
        <w:spacing w:before="240" w:after="240"/>
      </w:pPr>
      <w:bookmarkStart w:id="48" w:name="_Toc97192966"/>
      <w:bookmarkStart w:id="49" w:name="_Toc207878504"/>
      <w:r>
        <w:rPr>
          <w:rFonts w:hint="eastAsia"/>
          <w:szCs w:val="21"/>
        </w:rPr>
        <w:t>术语和定义</w:t>
      </w:r>
      <w:bookmarkEnd w:id="48"/>
      <w:bookmarkEnd w:id="49"/>
    </w:p>
    <w:bookmarkStart w:id="50" w:name="_Toc26986532" w:displacedByCustomXml="next"/>
    <w:bookmarkEnd w:id="50" w:displacedByCustomXml="next"/>
    <w:sdt>
      <w:sdtPr>
        <w:rPr>
          <w:rFonts w:ascii="Times New Roman"/>
        </w:rPr>
        <w:id w:val="-1909835108"/>
        <w:placeholder>
          <w:docPart w:val="9AE24055721448C692A1406CD64FC5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14CF3F7" w14:textId="324ADA00" w:rsidR="00471975" w:rsidRPr="00EE0FA8" w:rsidRDefault="00EE0FA8" w:rsidP="00EE0FA8">
          <w:pPr>
            <w:pStyle w:val="affffb"/>
            <w:ind w:firstLine="420"/>
          </w:pPr>
          <w:r w:rsidRPr="00E33D47">
            <w:rPr>
              <w:rFonts w:ascii="Times New Roman"/>
            </w:rPr>
            <w:t>GB/T 23694</w:t>
          </w:r>
          <w:r w:rsidRPr="00E33D47">
            <w:rPr>
              <w:rFonts w:ascii="Times New Roman"/>
            </w:rPr>
            <w:t>、</w:t>
          </w:r>
          <w:r w:rsidRPr="00E33D47">
            <w:rPr>
              <w:rFonts w:ascii="Times New Roman"/>
            </w:rPr>
            <w:t>GB/T 14441</w:t>
          </w:r>
          <w:r w:rsidRPr="00E33D47">
            <w:rPr>
              <w:rFonts w:ascii="Times New Roman"/>
            </w:rPr>
            <w:t>、</w:t>
          </w:r>
          <w:r w:rsidRPr="00E33D47">
            <w:rPr>
              <w:rFonts w:ascii="Times New Roman"/>
            </w:rPr>
            <w:t>AQ 8001</w:t>
          </w:r>
          <w:r w:rsidRPr="00E33D47">
            <w:rPr>
              <w:rFonts w:ascii="Times New Roman"/>
            </w:rPr>
            <w:t>界定的以及下列术语和定义适用于本文件。</w:t>
          </w:r>
        </w:p>
      </w:sdtContent>
    </w:sdt>
    <w:p w14:paraId="07AEF5B2" w14:textId="0A5CC031" w:rsidR="00471975" w:rsidRPr="00621843" w:rsidRDefault="00621843" w:rsidP="00621843">
      <w:pPr>
        <w:pStyle w:val="afffffffffff5"/>
        <w:ind w:left="422" w:hangingChars="200" w:hanging="422"/>
        <w:rPr>
          <w:rFonts w:ascii="黑体" w:eastAsia="黑体" w:hAnsi="黑体" w:hint="eastAsia"/>
          <w:b/>
        </w:rPr>
      </w:pPr>
      <w:bookmarkStart w:id="51" w:name="_Toc9611"/>
      <w:bookmarkStart w:id="52" w:name="_Toc73694331"/>
      <w:bookmarkStart w:id="53" w:name="_Toc3422"/>
      <w:bookmarkStart w:id="54" w:name="_Toc4374"/>
      <w:bookmarkStart w:id="55" w:name="_Toc26164"/>
      <w:bookmarkStart w:id="56" w:name="_Toc3602"/>
      <w:bookmarkStart w:id="57" w:name="_Toc28032"/>
      <w:bookmarkStart w:id="58" w:name="_Toc56066212"/>
      <w:r w:rsidRPr="00621843">
        <w:rPr>
          <w:rFonts w:ascii="黑体" w:eastAsia="黑体" w:hAnsi="黑体" w:hint="eastAsia"/>
          <w:b/>
        </w:rPr>
        <w:br/>
      </w:r>
      <w:bookmarkEnd w:id="51"/>
      <w:bookmarkEnd w:id="52"/>
      <w:r w:rsidR="00471975" w:rsidRPr="00621843">
        <w:rPr>
          <w:rFonts w:ascii="黑体" w:eastAsia="黑体" w:hAnsi="黑体" w:hint="eastAsia"/>
        </w:rPr>
        <w:t>风险点</w:t>
      </w:r>
      <w:bookmarkEnd w:id="53"/>
      <w:bookmarkEnd w:id="54"/>
      <w:bookmarkEnd w:id="55"/>
      <w:bookmarkEnd w:id="56"/>
      <w:bookmarkEnd w:id="57"/>
    </w:p>
    <w:p w14:paraId="5E145C88" w14:textId="77777777" w:rsidR="00471975" w:rsidRDefault="00471975" w:rsidP="00471975">
      <w:pPr>
        <w:spacing w:line="360" w:lineRule="auto"/>
        <w:ind w:firstLineChars="200" w:firstLine="420"/>
        <w:rPr>
          <w:rFonts w:ascii="宋体" w:hAnsi="宋体" w:cs="宋体" w:hint="eastAsia"/>
        </w:rPr>
      </w:pPr>
      <w:r>
        <w:rPr>
          <w:rFonts w:ascii="宋体" w:hAnsi="宋体" w:cs="宋体" w:hint="eastAsia"/>
        </w:rPr>
        <w:t>风险伴随的设施、部位和场所，以及在设施、部位和场所实施的伴随风险的作业活动，或以上两者的组合。</w:t>
      </w:r>
    </w:p>
    <w:p w14:paraId="4E2EABB4" w14:textId="75A4F773" w:rsidR="00471975" w:rsidRPr="00621843" w:rsidRDefault="00621843" w:rsidP="00621843">
      <w:pPr>
        <w:pStyle w:val="afffffffffff5"/>
        <w:ind w:left="422" w:hangingChars="200" w:hanging="422"/>
        <w:rPr>
          <w:rFonts w:ascii="黑体" w:eastAsia="黑体" w:hAnsi="黑体" w:hint="eastAsia"/>
          <w:b/>
          <w:bCs/>
        </w:rPr>
      </w:pPr>
      <w:bookmarkStart w:id="59" w:name="_Toc16890"/>
      <w:bookmarkStart w:id="60" w:name="_Toc29478"/>
      <w:bookmarkStart w:id="61" w:name="_Toc1152"/>
      <w:bookmarkStart w:id="62" w:name="_Toc21949"/>
      <w:bookmarkStart w:id="63" w:name="_Toc24065"/>
      <w:r w:rsidRPr="00621843">
        <w:rPr>
          <w:rFonts w:ascii="黑体" w:eastAsia="黑体" w:hAnsi="黑体" w:hint="eastAsia"/>
          <w:b/>
          <w:bCs/>
        </w:rPr>
        <w:br/>
      </w:r>
      <w:bookmarkEnd w:id="59"/>
      <w:bookmarkEnd w:id="60"/>
      <w:r w:rsidR="00471975" w:rsidRPr="00621843">
        <w:rPr>
          <w:rFonts w:ascii="黑体" w:eastAsia="黑体" w:hAnsi="黑体" w:hint="eastAsia"/>
        </w:rPr>
        <w:t>危险源</w:t>
      </w:r>
      <w:bookmarkEnd w:id="61"/>
      <w:bookmarkEnd w:id="62"/>
      <w:bookmarkEnd w:id="63"/>
      <w:r w:rsidR="00471975" w:rsidRPr="00621843">
        <w:rPr>
          <w:rFonts w:ascii="黑体" w:eastAsia="黑体" w:hAnsi="黑体" w:hint="eastAsia"/>
        </w:rPr>
        <w:t xml:space="preserve">  </w:t>
      </w:r>
    </w:p>
    <w:p w14:paraId="6F7DF5E6" w14:textId="77777777" w:rsidR="00471975" w:rsidRDefault="00471975" w:rsidP="00471975">
      <w:pPr>
        <w:spacing w:line="360" w:lineRule="auto"/>
        <w:ind w:firstLineChars="200" w:firstLine="420"/>
        <w:rPr>
          <w:rFonts w:ascii="宋体" w:hAnsi="宋体" w:cs="宋体" w:hint="eastAsia"/>
        </w:rPr>
      </w:pPr>
      <w:r>
        <w:rPr>
          <w:rFonts w:ascii="宋体" w:hAnsi="宋体" w:cs="宋体" w:hint="eastAsia"/>
        </w:rPr>
        <w:t>可能导致伤害、健康损害、财产损失和环境破坏的来源，也称为危害因素或危害来源。</w:t>
      </w:r>
    </w:p>
    <w:p w14:paraId="4E4F6CC5" w14:textId="7C538D2A" w:rsidR="00471975" w:rsidRPr="00621843" w:rsidRDefault="00621843" w:rsidP="00621843">
      <w:pPr>
        <w:pStyle w:val="afffffffffff5"/>
        <w:ind w:left="422" w:hangingChars="200" w:hanging="422"/>
        <w:rPr>
          <w:rFonts w:ascii="黑体" w:eastAsia="黑体" w:hAnsi="黑体" w:hint="eastAsia"/>
          <w:b/>
        </w:rPr>
      </w:pPr>
      <w:bookmarkStart w:id="64" w:name="_Toc73694333"/>
      <w:bookmarkStart w:id="65" w:name="_Toc3305"/>
      <w:bookmarkStart w:id="66" w:name="_Toc6983"/>
      <w:bookmarkStart w:id="67" w:name="_Toc14185"/>
      <w:bookmarkStart w:id="68" w:name="_Toc22478"/>
      <w:bookmarkStart w:id="69" w:name="_Toc27543"/>
      <w:bookmarkStart w:id="70" w:name="_Toc25164"/>
      <w:r w:rsidRPr="00621843">
        <w:rPr>
          <w:rFonts w:ascii="黑体" w:eastAsia="黑体" w:hAnsi="黑体" w:hint="eastAsia"/>
          <w:b/>
        </w:rPr>
        <w:br/>
      </w:r>
      <w:bookmarkEnd w:id="64"/>
      <w:bookmarkEnd w:id="65"/>
      <w:r w:rsidR="00471975" w:rsidRPr="00621843">
        <w:rPr>
          <w:rFonts w:ascii="黑体" w:eastAsia="黑体" w:hAnsi="黑体" w:hint="eastAsia"/>
        </w:rPr>
        <w:t>失控诱因</w:t>
      </w:r>
      <w:bookmarkEnd w:id="66"/>
      <w:bookmarkEnd w:id="67"/>
      <w:bookmarkEnd w:id="68"/>
      <w:bookmarkEnd w:id="69"/>
      <w:bookmarkEnd w:id="70"/>
    </w:p>
    <w:p w14:paraId="580C90EA" w14:textId="77777777" w:rsidR="00471975" w:rsidRDefault="00471975" w:rsidP="00471975">
      <w:pPr>
        <w:spacing w:line="360" w:lineRule="auto"/>
        <w:ind w:firstLineChars="200" w:firstLine="420"/>
        <w:rPr>
          <w:rFonts w:ascii="宋体" w:hAnsi="宋体" w:cs="宋体" w:hint="eastAsia"/>
        </w:rPr>
      </w:pPr>
      <w:bookmarkStart w:id="71" w:name="_Toc7608"/>
      <w:bookmarkStart w:id="72" w:name="_Toc597"/>
      <w:bookmarkStart w:id="73" w:name="_Toc7782"/>
      <w:bookmarkStart w:id="74" w:name="_Toc15248"/>
      <w:r>
        <w:rPr>
          <w:rFonts w:ascii="宋体" w:hAnsi="宋体" w:cs="宋体" w:hint="eastAsia"/>
        </w:rPr>
        <w:t>导致危险源失控或后果出现的原因。</w:t>
      </w:r>
      <w:bookmarkEnd w:id="71"/>
      <w:bookmarkEnd w:id="72"/>
      <w:bookmarkEnd w:id="73"/>
      <w:bookmarkEnd w:id="74"/>
    </w:p>
    <w:p w14:paraId="7520488E" w14:textId="2B2E9F73" w:rsidR="00471975" w:rsidRPr="00621843" w:rsidRDefault="00621843" w:rsidP="00621843">
      <w:pPr>
        <w:pStyle w:val="afffffffffff5"/>
        <w:ind w:left="422" w:hangingChars="200" w:hanging="422"/>
        <w:rPr>
          <w:rFonts w:ascii="黑体" w:eastAsia="黑体" w:hAnsi="黑体" w:hint="eastAsia"/>
          <w:b/>
        </w:rPr>
      </w:pPr>
      <w:bookmarkStart w:id="75" w:name="_Toc73694332"/>
      <w:bookmarkStart w:id="76" w:name="_Toc18922"/>
      <w:bookmarkStart w:id="77" w:name="_Toc15319"/>
      <w:bookmarkStart w:id="78" w:name="_Toc29448"/>
      <w:bookmarkStart w:id="79" w:name="_Toc10563"/>
      <w:bookmarkStart w:id="80" w:name="_Toc17367"/>
      <w:bookmarkStart w:id="81" w:name="_Toc15093"/>
      <w:r w:rsidRPr="00621843">
        <w:rPr>
          <w:rFonts w:ascii="黑体" w:eastAsia="黑体" w:hAnsi="黑体" w:hint="eastAsia"/>
          <w:b/>
        </w:rPr>
        <w:br/>
      </w:r>
      <w:bookmarkEnd w:id="75"/>
      <w:bookmarkEnd w:id="76"/>
      <w:r w:rsidR="00471975" w:rsidRPr="00621843">
        <w:rPr>
          <w:rFonts w:ascii="黑体" w:eastAsia="黑体" w:hAnsi="黑体" w:hint="eastAsia"/>
        </w:rPr>
        <w:t>危险源辨识</w:t>
      </w:r>
      <w:bookmarkEnd w:id="77"/>
      <w:bookmarkEnd w:id="78"/>
      <w:bookmarkEnd w:id="79"/>
      <w:bookmarkEnd w:id="80"/>
      <w:bookmarkEnd w:id="81"/>
    </w:p>
    <w:p w14:paraId="728C70D6" w14:textId="77777777" w:rsidR="00471975" w:rsidRDefault="00471975" w:rsidP="00471975">
      <w:pPr>
        <w:spacing w:line="360" w:lineRule="auto"/>
        <w:ind w:firstLineChars="200" w:firstLine="420"/>
        <w:rPr>
          <w:rFonts w:ascii="宋体" w:hAnsi="宋体" w:cs="宋体" w:hint="eastAsia"/>
        </w:rPr>
      </w:pPr>
      <w:r>
        <w:rPr>
          <w:rFonts w:ascii="宋体" w:hAnsi="宋体" w:cs="宋体" w:hint="eastAsia"/>
        </w:rPr>
        <w:t>识别、确认并描述危险源的过程。</w:t>
      </w:r>
    </w:p>
    <w:p w14:paraId="10D1A852" w14:textId="78CF4FA5" w:rsidR="00471975" w:rsidRPr="00621843" w:rsidRDefault="00621843" w:rsidP="00621843">
      <w:pPr>
        <w:pStyle w:val="afffffffffff5"/>
        <w:ind w:left="420" w:hangingChars="200" w:hanging="420"/>
        <w:rPr>
          <w:rFonts w:ascii="黑体" w:eastAsia="黑体" w:hAnsi="黑体" w:hint="eastAsia"/>
        </w:rPr>
      </w:pPr>
      <w:r w:rsidRPr="00621843">
        <w:rPr>
          <w:rFonts w:ascii="黑体" w:eastAsia="黑体" w:hAnsi="黑体" w:hint="eastAsia"/>
        </w:rPr>
        <w:br/>
      </w:r>
      <w:r w:rsidR="00471975" w:rsidRPr="00621843">
        <w:rPr>
          <w:rFonts w:ascii="黑体" w:eastAsia="黑体" w:hAnsi="黑体" w:hint="eastAsia"/>
        </w:rPr>
        <w:t>危险源描述</w:t>
      </w:r>
    </w:p>
    <w:p w14:paraId="56331EE4" w14:textId="77777777" w:rsidR="00471975" w:rsidRDefault="00471975" w:rsidP="00471975">
      <w:pPr>
        <w:spacing w:line="360" w:lineRule="auto"/>
        <w:ind w:firstLineChars="200" w:firstLine="420"/>
        <w:rPr>
          <w:rFonts w:ascii="宋体" w:hAnsi="宋体" w:cs="宋体" w:hint="eastAsia"/>
        </w:rPr>
      </w:pPr>
      <w:bookmarkStart w:id="82" w:name="_Toc10906"/>
      <w:bookmarkStart w:id="83" w:name="_Toc27820"/>
      <w:bookmarkStart w:id="84" w:name="_Toc13791"/>
      <w:bookmarkStart w:id="85" w:name="_Toc23985"/>
      <w:r>
        <w:rPr>
          <w:rFonts w:ascii="宋体" w:hAnsi="宋体" w:cs="宋体" w:hint="eastAsia"/>
        </w:rPr>
        <w:t>对危险源所做结构化表述，通常包括四个要素：危害来源、事件、失控诱因和后果。</w:t>
      </w:r>
      <w:bookmarkEnd w:id="82"/>
      <w:bookmarkEnd w:id="83"/>
      <w:bookmarkEnd w:id="84"/>
      <w:bookmarkEnd w:id="85"/>
    </w:p>
    <w:p w14:paraId="0234E726" w14:textId="28F92E91" w:rsidR="00471975" w:rsidRPr="00621843" w:rsidRDefault="00621843" w:rsidP="00621843">
      <w:pPr>
        <w:pStyle w:val="afffffffffff5"/>
        <w:ind w:left="420" w:hangingChars="200" w:hanging="420"/>
        <w:rPr>
          <w:rFonts w:ascii="黑体" w:eastAsia="黑体" w:hAnsi="黑体" w:hint="eastAsia"/>
        </w:rPr>
      </w:pPr>
      <w:r w:rsidRPr="00621843">
        <w:rPr>
          <w:rFonts w:ascii="黑体" w:eastAsia="黑体" w:hAnsi="黑体" w:hint="eastAsia"/>
        </w:rPr>
        <w:br/>
      </w:r>
      <w:r w:rsidR="00471975" w:rsidRPr="00621843">
        <w:rPr>
          <w:rFonts w:ascii="黑体" w:eastAsia="黑体" w:hAnsi="黑体" w:hint="eastAsia"/>
        </w:rPr>
        <w:t>风险控制措施</w:t>
      </w:r>
    </w:p>
    <w:p w14:paraId="429459DF" w14:textId="77777777" w:rsidR="00471975" w:rsidRDefault="00471975" w:rsidP="00471975">
      <w:pPr>
        <w:spacing w:line="360" w:lineRule="auto"/>
        <w:ind w:firstLineChars="200" w:firstLine="420"/>
        <w:rPr>
          <w:rFonts w:ascii="宋体" w:hAnsi="宋体" w:cs="宋体" w:hint="eastAsia"/>
        </w:rPr>
      </w:pPr>
      <w:bookmarkStart w:id="86" w:name="_Toc28049"/>
      <w:bookmarkStart w:id="87" w:name="_Toc19524"/>
      <w:bookmarkStart w:id="88" w:name="_Toc15667"/>
      <w:bookmarkStart w:id="89" w:name="_Toc3831"/>
      <w:r>
        <w:rPr>
          <w:rFonts w:ascii="宋体" w:hAnsi="宋体" w:cs="宋体" w:hint="eastAsia"/>
        </w:rPr>
        <w:t>针对失控诱因所需采取的控制措施。</w:t>
      </w:r>
      <w:bookmarkEnd w:id="86"/>
      <w:bookmarkEnd w:id="87"/>
      <w:bookmarkEnd w:id="88"/>
      <w:bookmarkEnd w:id="89"/>
    </w:p>
    <w:p w14:paraId="50489B47" w14:textId="520F0262" w:rsidR="00471975" w:rsidRPr="00621843" w:rsidRDefault="00621843" w:rsidP="00621843">
      <w:pPr>
        <w:pStyle w:val="afffffffffff5"/>
        <w:ind w:left="422" w:hangingChars="200" w:hanging="422"/>
        <w:rPr>
          <w:rFonts w:ascii="黑体" w:eastAsia="黑体" w:hAnsi="黑体" w:hint="eastAsia"/>
          <w:b/>
          <w:bCs/>
        </w:rPr>
      </w:pPr>
      <w:bookmarkStart w:id="90" w:name="_Toc4515"/>
      <w:bookmarkStart w:id="91" w:name="_Toc28268"/>
      <w:bookmarkStart w:id="92" w:name="_Toc31778"/>
      <w:bookmarkStart w:id="93" w:name="_Toc12066"/>
      <w:bookmarkStart w:id="94" w:name="_Toc2960"/>
      <w:r w:rsidRPr="00621843">
        <w:rPr>
          <w:rFonts w:ascii="黑体" w:eastAsia="黑体" w:hAnsi="黑体" w:hint="eastAsia"/>
          <w:b/>
        </w:rPr>
        <w:lastRenderedPageBreak/>
        <w:br/>
      </w:r>
      <w:r w:rsidR="00471975" w:rsidRPr="00621843">
        <w:rPr>
          <w:rFonts w:ascii="黑体" w:eastAsia="黑体" w:hAnsi="黑体" w:hint="eastAsia"/>
        </w:rPr>
        <w:t>固有风险评价</w:t>
      </w:r>
      <w:bookmarkEnd w:id="90"/>
      <w:bookmarkEnd w:id="91"/>
      <w:bookmarkEnd w:id="92"/>
      <w:bookmarkEnd w:id="93"/>
      <w:bookmarkEnd w:id="94"/>
    </w:p>
    <w:p w14:paraId="0C79C66B" w14:textId="77777777" w:rsidR="00471975" w:rsidRDefault="00471975" w:rsidP="00471975">
      <w:pPr>
        <w:spacing w:line="360" w:lineRule="auto"/>
        <w:ind w:firstLineChars="200" w:firstLine="420"/>
        <w:rPr>
          <w:rFonts w:ascii="宋体" w:hAnsi="宋体" w:cs="宋体" w:hint="eastAsia"/>
        </w:rPr>
      </w:pPr>
      <w:bookmarkStart w:id="95" w:name="_Toc30025"/>
      <w:bookmarkStart w:id="96" w:name="_Toc23608"/>
      <w:bookmarkStart w:id="97" w:name="_Toc16424"/>
      <w:bookmarkStart w:id="98" w:name="_Toc6980"/>
      <w:bookmarkStart w:id="99" w:name="_Toc12483"/>
      <w:r>
        <w:rPr>
          <w:rFonts w:ascii="宋体" w:hAnsi="宋体" w:cs="宋体" w:hint="eastAsia"/>
        </w:rPr>
        <w:t>在不考虑已采取的控制措施的前提下，实施风险评价，得出评价结果。</w:t>
      </w:r>
      <w:bookmarkStart w:id="100" w:name="_Toc22152"/>
      <w:bookmarkStart w:id="101" w:name="_Toc17406"/>
      <w:bookmarkStart w:id="102" w:name="_Toc1434"/>
      <w:bookmarkStart w:id="103" w:name="_Toc28984"/>
      <w:bookmarkEnd w:id="95"/>
      <w:bookmarkEnd w:id="96"/>
      <w:bookmarkEnd w:id="97"/>
      <w:bookmarkEnd w:id="98"/>
    </w:p>
    <w:p w14:paraId="36BD9F42" w14:textId="216B0425" w:rsidR="00471975" w:rsidRPr="00621843" w:rsidRDefault="00621843" w:rsidP="00621843">
      <w:pPr>
        <w:pStyle w:val="afffffffffff5"/>
        <w:ind w:left="422" w:hangingChars="200" w:hanging="422"/>
        <w:rPr>
          <w:rFonts w:ascii="黑体" w:eastAsia="黑体" w:hAnsi="黑体" w:hint="eastAsia"/>
          <w:b/>
        </w:rPr>
      </w:pPr>
      <w:bookmarkStart w:id="104" w:name="_Toc10351"/>
      <w:r w:rsidRPr="00621843">
        <w:rPr>
          <w:rFonts w:ascii="黑体" w:eastAsia="黑体" w:hAnsi="黑体" w:hint="eastAsia"/>
          <w:b/>
        </w:rPr>
        <w:br/>
      </w:r>
      <w:r w:rsidR="00471975" w:rsidRPr="00621843">
        <w:rPr>
          <w:rFonts w:ascii="黑体" w:eastAsia="黑体" w:hAnsi="黑体" w:hint="eastAsia"/>
        </w:rPr>
        <w:t>控制风险评价</w:t>
      </w:r>
      <w:bookmarkEnd w:id="100"/>
      <w:bookmarkEnd w:id="101"/>
      <w:bookmarkEnd w:id="102"/>
      <w:bookmarkEnd w:id="103"/>
      <w:bookmarkEnd w:id="104"/>
    </w:p>
    <w:p w14:paraId="23937D25" w14:textId="77777777" w:rsidR="00471975" w:rsidRDefault="00471975" w:rsidP="00471975">
      <w:pPr>
        <w:spacing w:line="360" w:lineRule="auto"/>
        <w:ind w:firstLineChars="200" w:firstLine="420"/>
        <w:rPr>
          <w:rFonts w:ascii="宋体" w:hAnsi="宋体" w:cs="宋体" w:hint="eastAsia"/>
        </w:rPr>
      </w:pPr>
      <w:bookmarkStart w:id="105" w:name="_Toc10654"/>
      <w:bookmarkStart w:id="106" w:name="_Toc8822"/>
      <w:bookmarkStart w:id="107" w:name="_Toc16815"/>
      <w:bookmarkStart w:id="108" w:name="_Toc24742"/>
      <w:r>
        <w:rPr>
          <w:rFonts w:ascii="宋体" w:hAnsi="宋体" w:cs="宋体" w:hint="eastAsia"/>
        </w:rPr>
        <w:t>在考虑已采取的控制措施的前提下，实施风险评价，得出评价结果。</w:t>
      </w:r>
      <w:bookmarkEnd w:id="105"/>
      <w:bookmarkEnd w:id="106"/>
      <w:bookmarkEnd w:id="107"/>
      <w:bookmarkEnd w:id="108"/>
    </w:p>
    <w:p w14:paraId="6C34C9EF" w14:textId="19C0A4A8" w:rsidR="00471975" w:rsidRPr="00621843" w:rsidRDefault="00621843" w:rsidP="00621843">
      <w:pPr>
        <w:pStyle w:val="afffffffffff5"/>
        <w:ind w:left="422" w:hangingChars="200" w:hanging="422"/>
        <w:rPr>
          <w:rFonts w:ascii="黑体" w:eastAsia="黑体" w:hAnsi="黑体" w:hint="eastAsia"/>
          <w:b/>
        </w:rPr>
      </w:pPr>
      <w:bookmarkStart w:id="109" w:name="_Toc366"/>
      <w:bookmarkStart w:id="110" w:name="_Toc25091"/>
      <w:bookmarkStart w:id="111" w:name="_Toc9151"/>
      <w:bookmarkStart w:id="112" w:name="_Toc24332"/>
      <w:bookmarkStart w:id="113" w:name="_Toc2668"/>
      <w:r w:rsidRPr="00621843">
        <w:rPr>
          <w:rFonts w:ascii="黑体" w:eastAsia="黑体" w:hAnsi="黑体" w:hint="eastAsia"/>
          <w:b/>
        </w:rPr>
        <w:br/>
      </w:r>
      <w:r w:rsidR="00471975" w:rsidRPr="00621843">
        <w:rPr>
          <w:rFonts w:ascii="黑体" w:eastAsia="黑体" w:hAnsi="黑体" w:hint="eastAsia"/>
        </w:rPr>
        <w:t>涉氨制冷企业</w:t>
      </w:r>
      <w:bookmarkEnd w:id="109"/>
      <w:bookmarkEnd w:id="110"/>
      <w:bookmarkEnd w:id="111"/>
      <w:bookmarkEnd w:id="112"/>
      <w:bookmarkEnd w:id="113"/>
    </w:p>
    <w:p w14:paraId="4033B954" w14:textId="77777777" w:rsidR="00471975" w:rsidRDefault="00471975" w:rsidP="00471975">
      <w:pPr>
        <w:spacing w:line="360" w:lineRule="auto"/>
        <w:ind w:firstLineChars="200" w:firstLine="420"/>
        <w:rPr>
          <w:rFonts w:ascii="宋体" w:hAnsi="宋体" w:cs="宋体" w:hint="eastAsia"/>
        </w:rPr>
      </w:pPr>
      <w:r>
        <w:rPr>
          <w:rFonts w:ascii="宋体" w:hAnsi="宋体" w:cs="宋体" w:hint="eastAsia"/>
        </w:rPr>
        <w:t>采用以氨为制冷剂的直接制冷系统及以氨为制冷剂、无相变介质为载冷剂的间接制冷系统的制冷企业。</w:t>
      </w:r>
    </w:p>
    <w:bookmarkEnd w:id="58"/>
    <w:bookmarkEnd w:id="99"/>
    <w:p w14:paraId="2EBA7AEC" w14:textId="77777777" w:rsidR="004B3E93" w:rsidRPr="00471975" w:rsidRDefault="004B3E93" w:rsidP="002A1260">
      <w:pPr>
        <w:pStyle w:val="affffb"/>
        <w:ind w:firstLine="420"/>
      </w:pPr>
    </w:p>
    <w:p w14:paraId="26DD46C8" w14:textId="535347A5" w:rsidR="005C3334" w:rsidRDefault="005C3334" w:rsidP="00621843">
      <w:pPr>
        <w:pStyle w:val="affc"/>
        <w:spacing w:before="240" w:after="240"/>
        <w:rPr>
          <w:b/>
          <w:bCs/>
        </w:rPr>
      </w:pPr>
      <w:bookmarkStart w:id="114" w:name="_Toc7810"/>
      <w:bookmarkStart w:id="115" w:name="_Toc19602"/>
      <w:bookmarkStart w:id="116" w:name="_Toc207878505"/>
      <w:bookmarkStart w:id="117" w:name="_Toc56066234"/>
      <w:bookmarkStart w:id="118" w:name="_Toc56066226"/>
      <w:r>
        <w:rPr>
          <w:rFonts w:hint="eastAsia"/>
        </w:rPr>
        <w:t>安全评价程序</w:t>
      </w:r>
      <w:bookmarkEnd w:id="114"/>
      <w:bookmarkEnd w:id="115"/>
      <w:bookmarkEnd w:id="116"/>
    </w:p>
    <w:p w14:paraId="11F1235A" w14:textId="77777777" w:rsidR="005C3334" w:rsidRDefault="005C3334" w:rsidP="005C3334">
      <w:pPr>
        <w:spacing w:line="360" w:lineRule="auto"/>
        <w:ind w:firstLineChars="200" w:firstLine="420"/>
        <w:rPr>
          <w:rFonts w:ascii="宋体" w:hAnsi="宋体" w:cs="宋体" w:hint="eastAsia"/>
        </w:rPr>
      </w:pPr>
      <w:r>
        <w:rPr>
          <w:rFonts w:ascii="宋体" w:hAnsi="宋体" w:cs="宋体" w:hint="eastAsia"/>
        </w:rPr>
        <w:t>安全评价程序包括：前期准备，评价单元及风险点划分，危险源辨识及风险控制措施确定，定性定量评价，安全对策措施建议，现场复核，评价结果综述，安全评价报告编制等。</w:t>
      </w:r>
    </w:p>
    <w:p w14:paraId="6AE5EC1D" w14:textId="4A1D60EE" w:rsidR="005C3334" w:rsidRDefault="005C3334" w:rsidP="00621843">
      <w:pPr>
        <w:pStyle w:val="affc"/>
        <w:spacing w:before="240" w:after="240"/>
        <w:rPr>
          <w:b/>
          <w:bCs/>
        </w:rPr>
      </w:pPr>
      <w:bookmarkStart w:id="119" w:name="_Toc3078"/>
      <w:bookmarkStart w:id="120" w:name="_Toc22522"/>
      <w:bookmarkStart w:id="121" w:name="_Toc207878506"/>
      <w:bookmarkEnd w:id="117"/>
      <w:bookmarkEnd w:id="118"/>
      <w:r>
        <w:rPr>
          <w:rFonts w:hint="eastAsia"/>
        </w:rPr>
        <w:t>安全评价内容</w:t>
      </w:r>
      <w:bookmarkEnd w:id="119"/>
      <w:r>
        <w:rPr>
          <w:rFonts w:hint="eastAsia"/>
        </w:rPr>
        <w:t>与要求</w:t>
      </w:r>
      <w:bookmarkEnd w:id="120"/>
      <w:bookmarkEnd w:id="121"/>
    </w:p>
    <w:p w14:paraId="11A00C20" w14:textId="449FE51A" w:rsidR="005C3334" w:rsidRDefault="005C3334" w:rsidP="00621843">
      <w:pPr>
        <w:pStyle w:val="affd"/>
        <w:spacing w:before="120" w:after="120"/>
        <w:rPr>
          <w:b/>
          <w:bCs/>
        </w:rPr>
      </w:pPr>
      <w:bookmarkStart w:id="122" w:name="_Toc24999"/>
      <w:r>
        <w:rPr>
          <w:rFonts w:hint="eastAsia"/>
        </w:rPr>
        <w:t>前期准备</w:t>
      </w:r>
      <w:bookmarkEnd w:id="122"/>
    </w:p>
    <w:p w14:paraId="43FDD734" w14:textId="5435393D" w:rsidR="005C3334" w:rsidRDefault="005C3334" w:rsidP="00621843">
      <w:pPr>
        <w:pStyle w:val="afffffffff1"/>
        <w:rPr>
          <w:rFonts w:ascii="黑体" w:eastAsia="黑体" w:hAnsi="黑体" w:cs="黑体" w:hint="eastAsia"/>
          <w:bCs/>
        </w:rPr>
      </w:pPr>
      <w:r>
        <w:rPr>
          <w:rFonts w:hint="eastAsia"/>
        </w:rPr>
        <w:t>成立安全评价项目组，安全评价项目组成员专业组成应包括化工工艺、化工机械、安全工程、电气、自动化。明确责任分工，明确评价对象、确定评价范围和工作计划。</w:t>
      </w:r>
    </w:p>
    <w:p w14:paraId="7C35CCD7" w14:textId="01CC020B" w:rsidR="005C3334" w:rsidRDefault="005C3334" w:rsidP="00621843">
      <w:pPr>
        <w:pStyle w:val="afffffffff1"/>
      </w:pPr>
      <w:r>
        <w:rPr>
          <w:rFonts w:hint="eastAsia"/>
        </w:rPr>
        <w:t>收集评价对象技术资料，包括但不限于制冷系统工艺描述，制冷系统设备设施清单，特种设备检测检验报告，外部环境资料，内部建构筑物布置及人员分布情况，企业管理及运行记录等。</w:t>
      </w:r>
    </w:p>
    <w:p w14:paraId="370043F9" w14:textId="54C7FEA7" w:rsidR="005C3334" w:rsidRDefault="005C3334" w:rsidP="00621843">
      <w:pPr>
        <w:pStyle w:val="afffffffff1"/>
      </w:pPr>
      <w:r>
        <w:rPr>
          <w:rFonts w:hint="eastAsia"/>
        </w:rPr>
        <w:t>收集与被评价对象相关的法律法规和技术规范。</w:t>
      </w:r>
    </w:p>
    <w:p w14:paraId="203C88A4" w14:textId="0FBC955C" w:rsidR="005C3334" w:rsidRDefault="005C3334" w:rsidP="00621843">
      <w:pPr>
        <w:pStyle w:val="afffffffff1"/>
        <w:rPr>
          <w:rFonts w:ascii="黑体" w:eastAsia="黑体" w:hAnsi="黑体" w:cs="黑体" w:hint="eastAsia"/>
        </w:rPr>
      </w:pPr>
      <w:r>
        <w:rPr>
          <w:rFonts w:hint="eastAsia"/>
        </w:rPr>
        <w:t>准备评价所需的工具、记录表单等。</w:t>
      </w:r>
    </w:p>
    <w:p w14:paraId="4D52C59B" w14:textId="31C5DC51" w:rsidR="005C3334" w:rsidRDefault="005C3334" w:rsidP="00621843">
      <w:pPr>
        <w:pStyle w:val="affd"/>
        <w:spacing w:before="120" w:after="120"/>
        <w:rPr>
          <w:b/>
          <w:bCs/>
        </w:rPr>
      </w:pPr>
      <w:bookmarkStart w:id="123" w:name="_Toc7334"/>
      <w:r>
        <w:rPr>
          <w:rFonts w:hint="eastAsia"/>
        </w:rPr>
        <w:t>评价单元及风险点划分</w:t>
      </w:r>
      <w:bookmarkEnd w:id="123"/>
    </w:p>
    <w:p w14:paraId="7B73B6D4" w14:textId="3ABC5D20" w:rsidR="005C3334" w:rsidRDefault="005C3334" w:rsidP="00621843">
      <w:pPr>
        <w:pStyle w:val="afffffffff1"/>
      </w:pPr>
      <w:r>
        <w:rPr>
          <w:rFonts w:hint="eastAsia"/>
        </w:rPr>
        <w:t>实施初次现场勘察，采集风险数据信息，形成工作记录，并收集现场影像资料。</w:t>
      </w:r>
    </w:p>
    <w:p w14:paraId="2139D5F5" w14:textId="1300F582" w:rsidR="005C3334" w:rsidRDefault="005C3334" w:rsidP="00621843">
      <w:pPr>
        <w:pStyle w:val="afffffffff1"/>
      </w:pPr>
      <w:r>
        <w:rPr>
          <w:rFonts w:hint="eastAsia"/>
        </w:rPr>
        <w:t>初次现场勘察时，在评价对象现场划分评价单元，评价单元一般包括但不限于：</w:t>
      </w:r>
    </w:p>
    <w:p w14:paraId="42D1E40E" w14:textId="4C9063C1" w:rsidR="005C3334" w:rsidRDefault="005C3334" w:rsidP="00E33D47">
      <w:pPr>
        <w:pStyle w:val="af5"/>
      </w:pPr>
      <w:r>
        <w:rPr>
          <w:rFonts w:hint="eastAsia"/>
        </w:rPr>
        <w:t>企业选址和周边环境；</w:t>
      </w:r>
    </w:p>
    <w:p w14:paraId="0926D4F1" w14:textId="7DBF26A4" w:rsidR="005C3334" w:rsidRDefault="005C3334" w:rsidP="00621843">
      <w:pPr>
        <w:pStyle w:val="af5"/>
      </w:pPr>
      <w:r>
        <w:rPr>
          <w:rFonts w:hint="eastAsia"/>
        </w:rPr>
        <w:t>总图布置；</w:t>
      </w:r>
    </w:p>
    <w:p w14:paraId="31C3CB96" w14:textId="7B91A47D" w:rsidR="005C3334" w:rsidRDefault="005C3334" w:rsidP="00621843">
      <w:pPr>
        <w:pStyle w:val="af5"/>
      </w:pPr>
      <w:r>
        <w:rPr>
          <w:rFonts w:hint="eastAsia"/>
        </w:rPr>
        <w:t>工艺与设备设施；</w:t>
      </w:r>
    </w:p>
    <w:p w14:paraId="3F660F83" w14:textId="4DBBFAC8" w:rsidR="005C3334" w:rsidRDefault="005C3334" w:rsidP="00621843">
      <w:pPr>
        <w:pStyle w:val="af5"/>
      </w:pPr>
      <w:r>
        <w:rPr>
          <w:rFonts w:hint="eastAsia"/>
        </w:rPr>
        <w:t>公用工程与辅助设施；</w:t>
      </w:r>
    </w:p>
    <w:p w14:paraId="496DDC25" w14:textId="270328AC" w:rsidR="005C3334" w:rsidRDefault="005C3334" w:rsidP="00621843">
      <w:pPr>
        <w:pStyle w:val="af5"/>
      </w:pPr>
      <w:r>
        <w:rPr>
          <w:rFonts w:hint="eastAsia"/>
        </w:rPr>
        <w:t>安全管理。</w:t>
      </w:r>
    </w:p>
    <w:p w14:paraId="16A36331" w14:textId="0D666B41" w:rsidR="005C3334" w:rsidRDefault="005C3334" w:rsidP="00621843">
      <w:pPr>
        <w:pStyle w:val="afffffffff1"/>
      </w:pPr>
      <w:r>
        <w:rPr>
          <w:rFonts w:hint="eastAsia"/>
        </w:rPr>
        <w:t>初次现场勘察时，在评价单元划分基础上，现场进行风险点划分，风险点应包括评价范围内所有场所、设施和作业活动。</w:t>
      </w:r>
    </w:p>
    <w:p w14:paraId="152109EC" w14:textId="77777777" w:rsidR="005C3334" w:rsidRDefault="005C3334" w:rsidP="00621843">
      <w:pPr>
        <w:pStyle w:val="afffffffff1"/>
      </w:pPr>
      <w:r>
        <w:rPr>
          <w:rFonts w:hint="eastAsia"/>
        </w:rPr>
        <w:t>为减少危险源分析和风险评价工作量，保持评价报告文字简洁，可以将同类风险点合并，但应对合并情况进行说明。</w:t>
      </w:r>
    </w:p>
    <w:p w14:paraId="2F866246" w14:textId="447ACA16" w:rsidR="005C3334" w:rsidRDefault="005C3334" w:rsidP="00621843">
      <w:pPr>
        <w:pStyle w:val="affd"/>
        <w:spacing w:before="120" w:after="120"/>
        <w:rPr>
          <w:b/>
          <w:bCs/>
        </w:rPr>
      </w:pPr>
      <w:bookmarkStart w:id="124" w:name="分析论证和预测评价阶段"/>
      <w:bookmarkStart w:id="125" w:name="3_2"/>
      <w:bookmarkStart w:id="126" w:name="sub22764146_3_2"/>
      <w:bookmarkStart w:id="127" w:name="3-2"/>
      <w:bookmarkStart w:id="128" w:name="_Toc4228"/>
      <w:bookmarkEnd w:id="124"/>
      <w:bookmarkEnd w:id="125"/>
      <w:bookmarkEnd w:id="126"/>
      <w:bookmarkEnd w:id="127"/>
      <w:r>
        <w:rPr>
          <w:rFonts w:hint="eastAsia"/>
        </w:rPr>
        <w:t>危险源分析</w:t>
      </w:r>
      <w:bookmarkEnd w:id="128"/>
    </w:p>
    <w:p w14:paraId="5174F278" w14:textId="0645BB60" w:rsidR="005C3334" w:rsidRDefault="005C3334" w:rsidP="00621843">
      <w:pPr>
        <w:pStyle w:val="afffffffff1"/>
      </w:pPr>
      <w:r>
        <w:rPr>
          <w:rFonts w:hint="eastAsia"/>
        </w:rPr>
        <w:t>对各评价单元及风险点存在的危险源逐一分析并描述，包括分析和描述危险源、事件、失控诱因和后果。</w:t>
      </w:r>
    </w:p>
    <w:p w14:paraId="0E86B3AC" w14:textId="620D7B3F" w:rsidR="005C3334" w:rsidRDefault="005C3334" w:rsidP="00621843">
      <w:pPr>
        <w:pStyle w:val="afffffffff1"/>
      </w:pPr>
      <w:r>
        <w:rPr>
          <w:rFonts w:hint="eastAsia"/>
        </w:rPr>
        <w:t>针对各风险点的危险源失控诱因及可能后果，确定安全风险管控措施。风险管控措施基于法律法规和技术规范确定，当超出规范要求时，应说明理由。</w:t>
      </w:r>
    </w:p>
    <w:p w14:paraId="60A78B4C" w14:textId="00D4C85C" w:rsidR="005C3334" w:rsidRDefault="005C3334" w:rsidP="00621843">
      <w:pPr>
        <w:pStyle w:val="afffffffff1"/>
      </w:pPr>
      <w:r>
        <w:rPr>
          <w:rFonts w:hint="eastAsia"/>
        </w:rPr>
        <w:t>根据</w:t>
      </w:r>
      <w:r w:rsidR="00E33D47" w:rsidRPr="00E33D47">
        <w:rPr>
          <w:rFonts w:ascii="Times New Roman"/>
        </w:rPr>
        <w:t>GB</w:t>
      </w:r>
      <w:r w:rsidR="00E33D47">
        <w:rPr>
          <w:rFonts w:ascii="Times New Roman" w:hint="eastAsia"/>
        </w:rPr>
        <w:t xml:space="preserve"> </w:t>
      </w:r>
      <w:r w:rsidR="00E33D47" w:rsidRPr="00E33D47">
        <w:rPr>
          <w:rFonts w:ascii="Times New Roman"/>
        </w:rPr>
        <w:t>18218</w:t>
      </w:r>
      <w:r>
        <w:rPr>
          <w:rFonts w:hint="eastAsia"/>
        </w:rPr>
        <w:t>对企业生产、储存场所进行重大危险源辨识，构成危险化学品重大危害因素的，</w:t>
      </w:r>
      <w:r>
        <w:rPr>
          <w:rFonts w:hint="eastAsia"/>
        </w:rPr>
        <w:lastRenderedPageBreak/>
        <w:t>按照标准进行重大危害因素分级。针对氨制冷系统特点，应辨识设备与管道内的物质总量。</w:t>
      </w:r>
    </w:p>
    <w:p w14:paraId="1697DD32" w14:textId="607C7B20" w:rsidR="005C3334" w:rsidRDefault="005C3334" w:rsidP="00621843">
      <w:pPr>
        <w:pStyle w:val="affd"/>
        <w:spacing w:before="120" w:after="120"/>
        <w:rPr>
          <w:b/>
          <w:bCs/>
        </w:rPr>
      </w:pPr>
      <w:bookmarkStart w:id="129" w:name="_Toc32645"/>
      <w:r>
        <w:rPr>
          <w:rFonts w:hint="eastAsia"/>
        </w:rPr>
        <w:t>定性定量评价</w:t>
      </w:r>
      <w:bookmarkEnd w:id="129"/>
    </w:p>
    <w:p w14:paraId="5B0D80EF" w14:textId="772FE9B4" w:rsidR="005C3334" w:rsidRDefault="005C3334" w:rsidP="00621843">
      <w:pPr>
        <w:pStyle w:val="affe"/>
        <w:spacing w:before="120" w:after="120"/>
      </w:pPr>
      <w:r>
        <w:rPr>
          <w:rFonts w:hint="eastAsia"/>
        </w:rPr>
        <w:t>评价方法和评价准则选择</w:t>
      </w:r>
    </w:p>
    <w:p w14:paraId="30182C63" w14:textId="4E5298CA" w:rsidR="005C3334" w:rsidRDefault="005C3334" w:rsidP="00090B27">
      <w:pPr>
        <w:pStyle w:val="afffffffff0"/>
      </w:pPr>
      <w:r>
        <w:rPr>
          <w:rFonts w:hint="eastAsia"/>
        </w:rPr>
        <w:t>根据企业特点，选择合理、适用的定性或定量评价方法并说明选择的理由。</w:t>
      </w:r>
    </w:p>
    <w:p w14:paraId="2A6BAA75" w14:textId="60493C11" w:rsidR="005C3334" w:rsidRDefault="005C3334" w:rsidP="00090B27">
      <w:pPr>
        <w:pStyle w:val="afffffffff0"/>
        <w:rPr>
          <w:rFonts w:ascii="黑体" w:hAnsi="黑体" w:cs="黑体" w:hint="eastAsia"/>
        </w:rPr>
      </w:pPr>
      <w:r>
        <w:rPr>
          <w:rFonts w:hint="eastAsia"/>
        </w:rPr>
        <w:t>评价方法选择应逐层递进。如可能，应选择定量风险评价方法，对高风险的风险点进行定量分析。</w:t>
      </w:r>
    </w:p>
    <w:p w14:paraId="7F7711D5" w14:textId="14CB43E1" w:rsidR="005C3334" w:rsidRDefault="005C3334" w:rsidP="00090B27">
      <w:pPr>
        <w:pStyle w:val="afffffffff0"/>
      </w:pPr>
      <w:r>
        <w:rPr>
          <w:rFonts w:hint="eastAsia"/>
        </w:rPr>
        <w:t>根据企业特点，选择合适的评价准则，评价准则应来源可靠，具有适用性和科学性。</w:t>
      </w:r>
    </w:p>
    <w:p w14:paraId="15F41596" w14:textId="75462DB7" w:rsidR="005C3334" w:rsidRDefault="005C3334" w:rsidP="00090B27">
      <w:pPr>
        <w:pStyle w:val="afffffffff0"/>
      </w:pPr>
      <w:r>
        <w:rPr>
          <w:rFonts w:hint="eastAsia"/>
        </w:rPr>
        <w:t>风险评价准则应包括风险可接受准则，即评价对象风险可接受的标准。</w:t>
      </w:r>
    </w:p>
    <w:p w14:paraId="4FECE30C" w14:textId="59D74A62" w:rsidR="005C3334" w:rsidRDefault="005C3334" w:rsidP="00090B27">
      <w:pPr>
        <w:pStyle w:val="affe"/>
        <w:spacing w:before="120" w:after="120"/>
        <w:rPr>
          <w:rFonts w:ascii="宋体" w:hAnsi="宋体" w:cs="宋体" w:hint="eastAsia"/>
        </w:rPr>
      </w:pPr>
      <w:r>
        <w:rPr>
          <w:rFonts w:ascii="宋体" w:hAnsi="宋体" w:cs="宋体" w:hint="eastAsia"/>
        </w:rPr>
        <w:t>符合性评价</w:t>
      </w:r>
    </w:p>
    <w:p w14:paraId="4DCF2F1B" w14:textId="5C259C57" w:rsidR="005C3334" w:rsidRDefault="005C3334" w:rsidP="00090B27">
      <w:pPr>
        <w:pStyle w:val="afffffffff0"/>
      </w:pPr>
      <w:r>
        <w:rPr>
          <w:rFonts w:hint="eastAsia"/>
        </w:rPr>
        <w:t>符合性评价应选用检查表法，对每个评价单元逐一检查评价。</w:t>
      </w:r>
    </w:p>
    <w:p w14:paraId="204F004B" w14:textId="4129C22B" w:rsidR="005C3334" w:rsidRDefault="005C3334" w:rsidP="00090B27">
      <w:pPr>
        <w:pStyle w:val="afffffffff0"/>
      </w:pPr>
      <w:r>
        <w:rPr>
          <w:rFonts w:hint="eastAsia"/>
        </w:rPr>
        <w:t>对评价单元内的风险点，逐一检查其安全风险管控措施落实情况。同评价单元内的不同风险点共有风险管控措施，可以合并检查，但检查表应能够涵盖所有风险管控措施。</w:t>
      </w:r>
    </w:p>
    <w:p w14:paraId="11CAFCCA" w14:textId="529086C8" w:rsidR="005C3334" w:rsidRDefault="005C3334" w:rsidP="00090B27">
      <w:pPr>
        <w:pStyle w:val="afffffffff0"/>
      </w:pPr>
      <w:r>
        <w:rPr>
          <w:rFonts w:hint="eastAsia"/>
        </w:rPr>
        <w:t>对安全风险控制措施缺失情况进行分析，列出安全风险隐患清单，提出整改建议措施，通报被评价企业。</w:t>
      </w:r>
    </w:p>
    <w:p w14:paraId="3350860F" w14:textId="14AC84E5" w:rsidR="005C3334" w:rsidRDefault="005C3334" w:rsidP="00090B27">
      <w:pPr>
        <w:pStyle w:val="affe"/>
        <w:spacing w:before="120" w:after="120"/>
      </w:pPr>
      <w:r>
        <w:rPr>
          <w:rFonts w:hint="eastAsia"/>
        </w:rPr>
        <w:t>固有风险和控制风险评价</w:t>
      </w:r>
    </w:p>
    <w:p w14:paraId="3333BB87" w14:textId="5B0945CB" w:rsidR="005C3334" w:rsidRDefault="005C3334" w:rsidP="00090B27">
      <w:pPr>
        <w:pStyle w:val="afffffffff0"/>
      </w:pPr>
      <w:r>
        <w:rPr>
          <w:rFonts w:hint="eastAsia"/>
        </w:rPr>
        <w:t>对各风险点的每个危险源进行固有风险评价，通过固有风险程度指导企业对固有风险进行分级管控。</w:t>
      </w:r>
    </w:p>
    <w:p w14:paraId="62ADE7DB" w14:textId="54200014" w:rsidR="005C3334" w:rsidRDefault="005C3334" w:rsidP="00090B27">
      <w:pPr>
        <w:pStyle w:val="afffffffff0"/>
      </w:pPr>
      <w:r>
        <w:rPr>
          <w:rFonts w:hint="eastAsia"/>
        </w:rPr>
        <w:t>对各风险点的每个危险源进行控制风险评价，通过控制风险评价结果与风险可接受准则比对，确定企业安全风险是否降低到可接受程度，原则上，控制风险应降低到“一般风险”以下。</w:t>
      </w:r>
    </w:p>
    <w:p w14:paraId="44A4B724" w14:textId="3BB146B9" w:rsidR="005C3334" w:rsidRDefault="005C3334" w:rsidP="00090B27">
      <w:pPr>
        <w:pStyle w:val="affd"/>
        <w:spacing w:before="120" w:after="120"/>
        <w:rPr>
          <w:b/>
          <w:bCs/>
        </w:rPr>
      </w:pPr>
      <w:bookmarkStart w:id="130" w:name="_Toc27189"/>
      <w:bookmarkStart w:id="131" w:name="_Toc58628458"/>
      <w:bookmarkStart w:id="132" w:name="_Toc18247"/>
      <w:bookmarkStart w:id="133" w:name="_Toc67563465"/>
      <w:bookmarkStart w:id="134" w:name="_Toc58619094"/>
      <w:bookmarkStart w:id="135" w:name="_Toc30925"/>
      <w:bookmarkStart w:id="136" w:name="_Toc26403"/>
      <w:r>
        <w:rPr>
          <w:rFonts w:hint="eastAsia"/>
        </w:rPr>
        <w:t>安全对策措施建议</w:t>
      </w:r>
      <w:bookmarkEnd w:id="130"/>
      <w:bookmarkEnd w:id="131"/>
      <w:bookmarkEnd w:id="132"/>
      <w:bookmarkEnd w:id="133"/>
      <w:bookmarkEnd w:id="134"/>
      <w:bookmarkEnd w:id="135"/>
      <w:bookmarkEnd w:id="136"/>
    </w:p>
    <w:p w14:paraId="7E12C035" w14:textId="0708D93B" w:rsidR="005C3334" w:rsidRDefault="005C3334" w:rsidP="00090B27">
      <w:pPr>
        <w:pStyle w:val="afffffffff1"/>
      </w:pPr>
      <w:r>
        <w:rPr>
          <w:rFonts w:hint="eastAsia"/>
        </w:rPr>
        <w:t>根据危险源分析、定性定量评价的结果，提出安全对策措施，安全对策措施建议包括但不限于如下内容：</w:t>
      </w:r>
    </w:p>
    <w:p w14:paraId="3064B32E" w14:textId="59388B26" w:rsidR="005C3334" w:rsidRDefault="005C3334" w:rsidP="00872B90">
      <w:pPr>
        <w:pStyle w:val="af5"/>
        <w:numPr>
          <w:ilvl w:val="0"/>
          <w:numId w:val="31"/>
        </w:numPr>
      </w:pPr>
      <w:r>
        <w:t>基于现有风险管理，</w:t>
      </w:r>
      <w:r>
        <w:rPr>
          <w:rFonts w:hint="eastAsia"/>
        </w:rPr>
        <w:t>针对</w:t>
      </w:r>
      <w:r>
        <w:t>缺失或失效</w:t>
      </w:r>
      <w:r>
        <w:rPr>
          <w:rFonts w:hint="eastAsia"/>
        </w:rPr>
        <w:t>的各类</w:t>
      </w:r>
      <w:r>
        <w:t>措施的整改建议；</w:t>
      </w:r>
    </w:p>
    <w:p w14:paraId="223AC45A" w14:textId="23CA10CF" w:rsidR="005C3334" w:rsidRDefault="005C3334" w:rsidP="00090B27">
      <w:pPr>
        <w:pStyle w:val="af5"/>
      </w:pPr>
      <w:r>
        <w:rPr>
          <w:rFonts w:hint="eastAsia"/>
        </w:rPr>
        <w:t>基于保持风险管控措施有效，企业必须保持的安全管理活动；</w:t>
      </w:r>
    </w:p>
    <w:p w14:paraId="438B85F7" w14:textId="4AD40F87" w:rsidR="005C3334" w:rsidRDefault="005C3334" w:rsidP="00090B27">
      <w:pPr>
        <w:pStyle w:val="af5"/>
      </w:pPr>
      <w:r>
        <w:rPr>
          <w:rFonts w:hint="eastAsia"/>
        </w:rPr>
        <w:t>企业安全管理的重点，以及安全生产水平提升方案建议。</w:t>
      </w:r>
    </w:p>
    <w:p w14:paraId="5A9F2354" w14:textId="532BB8E3" w:rsidR="005C3334" w:rsidRDefault="005C3334" w:rsidP="00090B27">
      <w:pPr>
        <w:pStyle w:val="afffffffff1"/>
      </w:pPr>
      <w:r>
        <w:rPr>
          <w:rFonts w:hint="eastAsia"/>
        </w:rPr>
        <w:t>安全对策措施建议应具有针对性、可操作性和经济合理性。</w:t>
      </w:r>
    </w:p>
    <w:p w14:paraId="261B3C1D" w14:textId="4BD05EE3" w:rsidR="005C3334" w:rsidRDefault="005C3334" w:rsidP="00090B27">
      <w:pPr>
        <w:pStyle w:val="affd"/>
        <w:spacing w:before="120" w:after="120"/>
        <w:rPr>
          <w:b/>
          <w:bCs/>
        </w:rPr>
      </w:pPr>
      <w:bookmarkStart w:id="137" w:name="_Toc5398"/>
      <w:r>
        <w:rPr>
          <w:rFonts w:hint="eastAsia"/>
        </w:rPr>
        <w:t>现场复核</w:t>
      </w:r>
      <w:bookmarkEnd w:id="137"/>
    </w:p>
    <w:p w14:paraId="7DDDDBE7" w14:textId="5D0AEA12" w:rsidR="005C3334" w:rsidRDefault="005C3334" w:rsidP="00090B27">
      <w:pPr>
        <w:pStyle w:val="afffffffff1"/>
      </w:pPr>
      <w:r>
        <w:rPr>
          <w:rFonts w:hint="eastAsia"/>
        </w:rPr>
        <w:t>现场复核主要目的包括但不限于如下内容：</w:t>
      </w:r>
    </w:p>
    <w:p w14:paraId="434A3609" w14:textId="77777777" w:rsidR="005C3334" w:rsidRDefault="005C3334" w:rsidP="00872B90">
      <w:pPr>
        <w:pStyle w:val="af5"/>
        <w:numPr>
          <w:ilvl w:val="0"/>
          <w:numId w:val="32"/>
        </w:numPr>
      </w:pPr>
      <w:r>
        <w:rPr>
          <w:rFonts w:hint="eastAsia"/>
        </w:rPr>
        <w:t>对危险源分析和定性定量评价的充分性、有效性进行确认；</w:t>
      </w:r>
    </w:p>
    <w:p w14:paraId="1107E0B2" w14:textId="77777777" w:rsidR="005C3334" w:rsidRDefault="005C3334" w:rsidP="00090B27">
      <w:pPr>
        <w:pStyle w:val="af5"/>
      </w:pPr>
      <w:r>
        <w:rPr>
          <w:rFonts w:hint="eastAsia"/>
        </w:rPr>
        <w:t>对评价对象安全风险隐患整改情况进行复查和确认。</w:t>
      </w:r>
    </w:p>
    <w:p w14:paraId="7643D5F1" w14:textId="128335AA" w:rsidR="005C3334" w:rsidRDefault="005C3334" w:rsidP="00090B27">
      <w:pPr>
        <w:pStyle w:val="afffffffff1"/>
      </w:pPr>
      <w:r>
        <w:rPr>
          <w:rFonts w:hint="eastAsia"/>
        </w:rPr>
        <w:t>现场复核时，应对企业整改情况，采集整改后的影像资料。</w:t>
      </w:r>
    </w:p>
    <w:p w14:paraId="2373711E" w14:textId="26EFAD2D" w:rsidR="005C3334" w:rsidRDefault="005C3334" w:rsidP="00090B27">
      <w:pPr>
        <w:pStyle w:val="affd"/>
        <w:spacing w:before="120" w:after="120"/>
        <w:rPr>
          <w:b/>
          <w:bCs/>
        </w:rPr>
      </w:pPr>
      <w:bookmarkStart w:id="138" w:name="3-3"/>
      <w:bookmarkStart w:id="139" w:name="sub22764146_3_3"/>
      <w:bookmarkStart w:id="140" w:name="3_3"/>
      <w:bookmarkStart w:id="141" w:name="环境影响评价文件编制阶段"/>
      <w:bookmarkStart w:id="142" w:name="_Toc5317"/>
      <w:bookmarkStart w:id="143" w:name="_Toc23185"/>
      <w:bookmarkStart w:id="144" w:name="_Toc24912"/>
      <w:bookmarkStart w:id="145" w:name="_Toc67563466"/>
      <w:bookmarkStart w:id="146" w:name="_Toc14109"/>
      <w:bookmarkStart w:id="147" w:name="_Toc20737"/>
      <w:bookmarkEnd w:id="138"/>
      <w:bookmarkEnd w:id="139"/>
      <w:bookmarkEnd w:id="140"/>
      <w:bookmarkEnd w:id="141"/>
      <w:r>
        <w:rPr>
          <w:rFonts w:hint="eastAsia"/>
        </w:rPr>
        <w:t>评价结果综述</w:t>
      </w:r>
      <w:bookmarkEnd w:id="142"/>
      <w:bookmarkEnd w:id="143"/>
      <w:bookmarkEnd w:id="144"/>
      <w:bookmarkEnd w:id="145"/>
      <w:bookmarkEnd w:id="146"/>
    </w:p>
    <w:p w14:paraId="1EC75B66" w14:textId="1D2EF429" w:rsidR="005C3334" w:rsidRDefault="005C3334" w:rsidP="00090B27">
      <w:pPr>
        <w:pStyle w:val="afffffffff1"/>
        <w:rPr>
          <w:rFonts w:ascii="黑体" w:eastAsia="黑体" w:hAnsi="黑体" w:cs="黑体" w:hint="eastAsia"/>
          <w:bCs/>
        </w:rPr>
      </w:pPr>
      <w:r>
        <w:rPr>
          <w:rFonts w:hint="eastAsia"/>
        </w:rPr>
        <w:t>企业对安全风险隐患整改落实情况的复查结果。</w:t>
      </w:r>
    </w:p>
    <w:p w14:paraId="610A272D" w14:textId="2D85AA4A" w:rsidR="005C3334" w:rsidRDefault="005C3334" w:rsidP="00090B27">
      <w:pPr>
        <w:pStyle w:val="afffffffff1"/>
        <w:rPr>
          <w:rFonts w:ascii="黑体" w:eastAsia="黑体" w:hAnsi="黑体" w:cs="黑体" w:hint="eastAsia"/>
          <w:bCs/>
        </w:rPr>
      </w:pPr>
      <w:r>
        <w:rPr>
          <w:rFonts w:hint="eastAsia"/>
        </w:rPr>
        <w:t>企业应重点管控的危险源及其所在的风险点。</w:t>
      </w:r>
    </w:p>
    <w:p w14:paraId="5D8DE25B" w14:textId="5C125773" w:rsidR="005C3334" w:rsidRDefault="005C3334" w:rsidP="00090B27">
      <w:pPr>
        <w:pStyle w:val="afffffffff1"/>
      </w:pPr>
      <w:r>
        <w:rPr>
          <w:rFonts w:hint="eastAsia"/>
        </w:rPr>
        <w:t>监管部门对企业进行安全监管的相关建议。</w:t>
      </w:r>
    </w:p>
    <w:p w14:paraId="2731A450" w14:textId="3FA27555" w:rsidR="005C3334" w:rsidRDefault="005C3334" w:rsidP="00090B27">
      <w:pPr>
        <w:pStyle w:val="afffffffff1"/>
      </w:pPr>
      <w:r>
        <w:rPr>
          <w:rFonts w:hint="eastAsia"/>
        </w:rPr>
        <w:t>通过企业控制风险评价结果与风险可接受准则的对比，分析企业现状风险程度是否能够控制在可接受的范围内。</w:t>
      </w:r>
    </w:p>
    <w:p w14:paraId="36795014" w14:textId="22EA28CF" w:rsidR="005C3334" w:rsidRDefault="005C3334" w:rsidP="00090B27">
      <w:pPr>
        <w:pStyle w:val="afffffffff1"/>
      </w:pPr>
      <w:r>
        <w:rPr>
          <w:rFonts w:hint="eastAsia"/>
        </w:rPr>
        <w:t>给出企业安全风险是否可以接受的结论。</w:t>
      </w:r>
    </w:p>
    <w:p w14:paraId="6701DFE3" w14:textId="0482CC6F" w:rsidR="005C3334" w:rsidRDefault="005C3334" w:rsidP="00090B27">
      <w:pPr>
        <w:pStyle w:val="afffffffff1"/>
      </w:pPr>
      <w:r>
        <w:rPr>
          <w:rFonts w:hint="eastAsia"/>
        </w:rPr>
        <w:t>给出企业现有状态是否符合法律法规和技术标准规范规定的安全生产条件的结论。</w:t>
      </w:r>
    </w:p>
    <w:p w14:paraId="4DF6F263" w14:textId="0CF37F1E" w:rsidR="005C3334" w:rsidRDefault="005C3334" w:rsidP="00090B27">
      <w:pPr>
        <w:pStyle w:val="affc"/>
        <w:spacing w:before="240" w:after="240"/>
        <w:rPr>
          <w:b/>
          <w:bCs/>
        </w:rPr>
      </w:pPr>
      <w:bookmarkStart w:id="148" w:name="_Toc10873"/>
      <w:bookmarkStart w:id="149" w:name="_Toc17468"/>
      <w:bookmarkStart w:id="150" w:name="_Toc13860"/>
      <w:bookmarkStart w:id="151" w:name="_Toc4433"/>
      <w:bookmarkStart w:id="152" w:name="_Toc207878507"/>
      <w:bookmarkEnd w:id="147"/>
      <w:r>
        <w:rPr>
          <w:rFonts w:hint="eastAsia"/>
        </w:rPr>
        <w:t>报告编制</w:t>
      </w:r>
      <w:bookmarkEnd w:id="148"/>
      <w:bookmarkEnd w:id="149"/>
      <w:bookmarkEnd w:id="150"/>
      <w:bookmarkEnd w:id="151"/>
      <w:bookmarkEnd w:id="152"/>
      <w:r>
        <w:rPr>
          <w:rFonts w:hint="eastAsia"/>
        </w:rPr>
        <w:t xml:space="preserve">  </w:t>
      </w:r>
    </w:p>
    <w:p w14:paraId="15BDA186" w14:textId="6E8FF4C9" w:rsidR="005C3334" w:rsidRDefault="005C3334" w:rsidP="00090B27">
      <w:pPr>
        <w:pStyle w:val="affd"/>
        <w:spacing w:before="120" w:after="120"/>
        <w:rPr>
          <w:b/>
          <w:bCs/>
        </w:rPr>
      </w:pPr>
      <w:bookmarkStart w:id="153" w:name="_Toc15872"/>
      <w:bookmarkStart w:id="154" w:name="_Toc26427"/>
      <w:bookmarkStart w:id="155" w:name="_Toc11178"/>
      <w:bookmarkStart w:id="156" w:name="_Toc8280"/>
      <w:r>
        <w:rPr>
          <w:rFonts w:hint="eastAsia"/>
        </w:rPr>
        <w:t>报告编制的总体要求</w:t>
      </w:r>
      <w:bookmarkEnd w:id="153"/>
      <w:bookmarkEnd w:id="154"/>
      <w:bookmarkEnd w:id="155"/>
      <w:bookmarkEnd w:id="156"/>
    </w:p>
    <w:p w14:paraId="26EA5830" w14:textId="77777777" w:rsidR="005C3334" w:rsidRDefault="005C3334" w:rsidP="005C3334">
      <w:pPr>
        <w:spacing w:line="360" w:lineRule="auto"/>
        <w:ind w:firstLineChars="200" w:firstLine="420"/>
        <w:rPr>
          <w:rFonts w:ascii="宋体" w:hAnsi="宋体" w:cs="宋体" w:hint="eastAsia"/>
          <w:bCs/>
        </w:rPr>
      </w:pPr>
      <w:bookmarkStart w:id="157" w:name="_Toc457089193_WPSOffice_Level1"/>
      <w:bookmarkStart w:id="158" w:name="_Toc1671897643_WPSOffice_Level1"/>
      <w:r>
        <w:rPr>
          <w:rFonts w:ascii="宋体" w:hAnsi="宋体" w:cs="宋体" w:hint="eastAsia"/>
          <w:bCs/>
        </w:rPr>
        <w:lastRenderedPageBreak/>
        <w:t>应全面、概括地反映安全评价的工作，文字简洁、准确，可采用图表和照片，评价过程应逻辑清晰，评价结论明确。</w:t>
      </w:r>
    </w:p>
    <w:p w14:paraId="0746005C" w14:textId="31A93D96" w:rsidR="005C3334" w:rsidRDefault="005C3334" w:rsidP="00090B27">
      <w:pPr>
        <w:pStyle w:val="affd"/>
        <w:spacing w:before="120" w:after="120"/>
        <w:rPr>
          <w:b/>
          <w:bCs/>
        </w:rPr>
      </w:pPr>
      <w:bookmarkStart w:id="159" w:name="_Toc6894"/>
      <w:bookmarkStart w:id="160" w:name="_Toc16148"/>
      <w:bookmarkStart w:id="161" w:name="_Toc15675"/>
      <w:bookmarkStart w:id="162" w:name="_Toc16115"/>
      <w:bookmarkStart w:id="163" w:name="_Toc749061432_WPSOffice_Level1"/>
      <w:bookmarkStart w:id="164" w:name="_Toc1907648553_WPSOffice_Level1"/>
      <w:bookmarkEnd w:id="157"/>
      <w:bookmarkEnd w:id="158"/>
      <w:r>
        <w:rPr>
          <w:rFonts w:hint="eastAsia"/>
        </w:rPr>
        <w:t>报告内容</w:t>
      </w:r>
      <w:bookmarkEnd w:id="159"/>
      <w:bookmarkEnd w:id="160"/>
      <w:bookmarkEnd w:id="161"/>
      <w:bookmarkEnd w:id="162"/>
    </w:p>
    <w:p w14:paraId="23887183"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安全评价报告应包括但不仅限于以下内容</w:t>
      </w:r>
      <w:bookmarkEnd w:id="163"/>
      <w:bookmarkEnd w:id="164"/>
      <w:r>
        <w:rPr>
          <w:rFonts w:ascii="宋体" w:hAnsi="宋体" w:cs="宋体" w:hint="eastAsia"/>
          <w:bCs/>
        </w:rPr>
        <w:t>。</w:t>
      </w:r>
    </w:p>
    <w:p w14:paraId="447768E2" w14:textId="0BD40D05" w:rsidR="005C3334" w:rsidRDefault="005C3334" w:rsidP="00090B27">
      <w:pPr>
        <w:pStyle w:val="afffffffff1"/>
      </w:pPr>
      <w:r>
        <w:rPr>
          <w:rFonts w:hint="eastAsia"/>
        </w:rPr>
        <w:t>企业概况介绍。介绍被评价对象概况的主要目的是为安全评价服务，应能充分显示被评价对象的内容和特点。被评价对象介绍应包括但不限于如下内容：</w:t>
      </w:r>
    </w:p>
    <w:p w14:paraId="33FF8C14" w14:textId="71F922FA" w:rsidR="005C3334" w:rsidRDefault="005C3334" w:rsidP="00872B90">
      <w:pPr>
        <w:pStyle w:val="af5"/>
        <w:numPr>
          <w:ilvl w:val="0"/>
          <w:numId w:val="38"/>
        </w:numPr>
      </w:pPr>
      <w:r>
        <w:rPr>
          <w:rFonts w:hint="eastAsia"/>
        </w:rPr>
        <w:t>企业基本情况；</w:t>
      </w:r>
    </w:p>
    <w:p w14:paraId="6DADBD45"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企业基本情况见表</w:t>
      </w:r>
      <w:r w:rsidRPr="00E33D47">
        <w:rPr>
          <w:rFonts w:ascii="Times New Roman" w:hAnsi="Times New Roman"/>
          <w:bCs/>
        </w:rPr>
        <w:t>1</w:t>
      </w:r>
    </w:p>
    <w:p w14:paraId="3D42F062" w14:textId="6A6E4986" w:rsidR="005C3334" w:rsidRDefault="005C3334" w:rsidP="00347FC3">
      <w:pPr>
        <w:pStyle w:val="aff2"/>
        <w:spacing w:before="120" w:after="120"/>
      </w:pPr>
      <w:r>
        <w:rPr>
          <w:rFonts w:hint="eastAsia"/>
        </w:rPr>
        <w:t>企业基本情况表</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199"/>
        <w:gridCol w:w="616"/>
        <w:gridCol w:w="1522"/>
        <w:gridCol w:w="523"/>
        <w:gridCol w:w="2475"/>
      </w:tblGrid>
      <w:tr w:rsidR="005C3334" w14:paraId="0E6D5017" w14:textId="77777777" w:rsidTr="00712E2F">
        <w:tc>
          <w:tcPr>
            <w:tcW w:w="2236" w:type="dxa"/>
            <w:vAlign w:val="center"/>
          </w:tcPr>
          <w:p w14:paraId="4C0CC43B"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企业名称</w:t>
            </w:r>
          </w:p>
        </w:tc>
        <w:tc>
          <w:tcPr>
            <w:tcW w:w="2815" w:type="dxa"/>
            <w:gridSpan w:val="2"/>
            <w:vAlign w:val="center"/>
          </w:tcPr>
          <w:p w14:paraId="20D0E31A" w14:textId="77777777" w:rsidR="005C3334" w:rsidRDefault="005C3334" w:rsidP="00B91B1A">
            <w:pPr>
              <w:spacing w:line="300" w:lineRule="auto"/>
              <w:jc w:val="center"/>
              <w:rPr>
                <w:rFonts w:ascii="宋体" w:hAnsi="宋体" w:hint="eastAsia"/>
                <w:bCs/>
                <w:sz w:val="18"/>
                <w:szCs w:val="18"/>
              </w:rPr>
            </w:pPr>
          </w:p>
        </w:tc>
        <w:tc>
          <w:tcPr>
            <w:tcW w:w="2045" w:type="dxa"/>
            <w:gridSpan w:val="2"/>
            <w:vAlign w:val="center"/>
          </w:tcPr>
          <w:p w14:paraId="08A523DB"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统一社会信用代码</w:t>
            </w:r>
          </w:p>
        </w:tc>
        <w:tc>
          <w:tcPr>
            <w:tcW w:w="2475" w:type="dxa"/>
            <w:vAlign w:val="center"/>
          </w:tcPr>
          <w:p w14:paraId="425D4001" w14:textId="77777777" w:rsidR="005C3334" w:rsidRDefault="005C3334" w:rsidP="00B91B1A">
            <w:pPr>
              <w:spacing w:line="300" w:lineRule="auto"/>
              <w:jc w:val="center"/>
              <w:rPr>
                <w:rFonts w:ascii="宋体" w:hAnsi="宋体" w:hint="eastAsia"/>
                <w:bCs/>
                <w:sz w:val="18"/>
                <w:szCs w:val="18"/>
              </w:rPr>
            </w:pPr>
          </w:p>
        </w:tc>
      </w:tr>
      <w:tr w:rsidR="005C3334" w14:paraId="3FADFD50" w14:textId="77777777" w:rsidTr="00712E2F">
        <w:tc>
          <w:tcPr>
            <w:tcW w:w="2236" w:type="dxa"/>
            <w:vAlign w:val="center"/>
          </w:tcPr>
          <w:p w14:paraId="12A64126"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企业性质</w:t>
            </w:r>
          </w:p>
        </w:tc>
        <w:tc>
          <w:tcPr>
            <w:tcW w:w="2815" w:type="dxa"/>
            <w:gridSpan w:val="2"/>
            <w:vAlign w:val="center"/>
          </w:tcPr>
          <w:p w14:paraId="0F1E0A87" w14:textId="77777777" w:rsidR="005C3334" w:rsidRDefault="005C3334" w:rsidP="00B91B1A">
            <w:pPr>
              <w:spacing w:line="300" w:lineRule="auto"/>
              <w:jc w:val="center"/>
              <w:rPr>
                <w:rFonts w:ascii="宋体" w:hAnsi="宋体" w:hint="eastAsia"/>
                <w:bCs/>
                <w:sz w:val="18"/>
                <w:szCs w:val="18"/>
              </w:rPr>
            </w:pPr>
          </w:p>
        </w:tc>
        <w:tc>
          <w:tcPr>
            <w:tcW w:w="2045" w:type="dxa"/>
            <w:gridSpan w:val="2"/>
            <w:vAlign w:val="center"/>
          </w:tcPr>
          <w:p w14:paraId="0E86879B" w14:textId="77777777" w:rsidR="005C3334" w:rsidRDefault="005C3334" w:rsidP="00B91B1A">
            <w:pPr>
              <w:spacing w:line="300" w:lineRule="auto"/>
              <w:jc w:val="center"/>
              <w:rPr>
                <w:rFonts w:ascii="宋体" w:hAnsi="宋体" w:hint="eastAsia"/>
                <w:bCs/>
                <w:sz w:val="18"/>
                <w:szCs w:val="18"/>
              </w:rPr>
            </w:pPr>
            <w:r>
              <w:rPr>
                <w:rFonts w:ascii="宋体" w:hAnsi="宋体" w:hint="eastAsia"/>
                <w:sz w:val="18"/>
                <w:szCs w:val="18"/>
              </w:rPr>
              <w:t>法定代表人姓名</w:t>
            </w:r>
          </w:p>
        </w:tc>
        <w:tc>
          <w:tcPr>
            <w:tcW w:w="2475" w:type="dxa"/>
            <w:vAlign w:val="center"/>
          </w:tcPr>
          <w:p w14:paraId="5A0CFF60" w14:textId="77777777" w:rsidR="005C3334" w:rsidRDefault="005C3334" w:rsidP="00B91B1A">
            <w:pPr>
              <w:spacing w:line="300" w:lineRule="auto"/>
              <w:jc w:val="center"/>
              <w:rPr>
                <w:rFonts w:ascii="宋体" w:hAnsi="宋体" w:hint="eastAsia"/>
                <w:bCs/>
                <w:sz w:val="18"/>
                <w:szCs w:val="18"/>
              </w:rPr>
            </w:pPr>
          </w:p>
        </w:tc>
      </w:tr>
      <w:tr w:rsidR="005C3334" w14:paraId="79EE5244" w14:textId="77777777" w:rsidTr="00712E2F">
        <w:tc>
          <w:tcPr>
            <w:tcW w:w="2236" w:type="dxa"/>
            <w:vAlign w:val="center"/>
          </w:tcPr>
          <w:p w14:paraId="10DBAE12"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注册地址</w:t>
            </w:r>
          </w:p>
        </w:tc>
        <w:tc>
          <w:tcPr>
            <w:tcW w:w="7335" w:type="dxa"/>
            <w:gridSpan w:val="5"/>
            <w:vAlign w:val="center"/>
          </w:tcPr>
          <w:p w14:paraId="56B1B15E" w14:textId="77777777" w:rsidR="005C3334" w:rsidRDefault="005C3334" w:rsidP="00B91B1A">
            <w:pPr>
              <w:spacing w:line="300" w:lineRule="auto"/>
              <w:jc w:val="center"/>
              <w:rPr>
                <w:rFonts w:ascii="宋体" w:hAnsi="宋体" w:hint="eastAsia"/>
                <w:bCs/>
                <w:sz w:val="18"/>
                <w:szCs w:val="18"/>
              </w:rPr>
            </w:pPr>
          </w:p>
        </w:tc>
      </w:tr>
      <w:tr w:rsidR="005C3334" w14:paraId="20AFCDDF" w14:textId="77777777" w:rsidTr="00712E2F">
        <w:tc>
          <w:tcPr>
            <w:tcW w:w="2236" w:type="dxa"/>
            <w:vAlign w:val="center"/>
          </w:tcPr>
          <w:p w14:paraId="46D6E2DA"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液氨储存使用场所</w:t>
            </w:r>
          </w:p>
        </w:tc>
        <w:tc>
          <w:tcPr>
            <w:tcW w:w="7335" w:type="dxa"/>
            <w:gridSpan w:val="5"/>
            <w:vAlign w:val="center"/>
          </w:tcPr>
          <w:p w14:paraId="3CC9B19E" w14:textId="77777777" w:rsidR="005C3334" w:rsidRDefault="005C3334" w:rsidP="00B91B1A">
            <w:pPr>
              <w:spacing w:line="300" w:lineRule="auto"/>
              <w:jc w:val="center"/>
              <w:rPr>
                <w:rFonts w:ascii="宋体" w:hAnsi="宋体" w:hint="eastAsia"/>
                <w:sz w:val="18"/>
                <w:szCs w:val="18"/>
              </w:rPr>
            </w:pPr>
          </w:p>
        </w:tc>
      </w:tr>
      <w:tr w:rsidR="005C3334" w14:paraId="7482066D" w14:textId="77777777" w:rsidTr="00712E2F">
        <w:tc>
          <w:tcPr>
            <w:tcW w:w="2236" w:type="dxa"/>
            <w:vAlign w:val="center"/>
          </w:tcPr>
          <w:p w14:paraId="1379A4D4"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主要负责人</w:t>
            </w:r>
          </w:p>
        </w:tc>
        <w:tc>
          <w:tcPr>
            <w:tcW w:w="2199" w:type="dxa"/>
            <w:vAlign w:val="center"/>
          </w:tcPr>
          <w:p w14:paraId="3CB51110" w14:textId="77777777" w:rsidR="005C3334" w:rsidRDefault="005C3334" w:rsidP="00B91B1A">
            <w:pPr>
              <w:pStyle w:val="11"/>
              <w:spacing w:line="300" w:lineRule="auto"/>
              <w:rPr>
                <w:rFonts w:hint="eastAsia"/>
                <w:sz w:val="18"/>
                <w:szCs w:val="18"/>
              </w:rPr>
            </w:pPr>
          </w:p>
        </w:tc>
        <w:tc>
          <w:tcPr>
            <w:tcW w:w="2138" w:type="dxa"/>
            <w:gridSpan w:val="2"/>
            <w:vAlign w:val="center"/>
          </w:tcPr>
          <w:p w14:paraId="095C678F"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安全管理人员</w:t>
            </w:r>
          </w:p>
        </w:tc>
        <w:tc>
          <w:tcPr>
            <w:tcW w:w="2998" w:type="dxa"/>
            <w:gridSpan w:val="2"/>
            <w:vAlign w:val="center"/>
          </w:tcPr>
          <w:p w14:paraId="38FD9D22" w14:textId="77777777" w:rsidR="005C3334" w:rsidRDefault="005C3334" w:rsidP="00B91B1A">
            <w:pPr>
              <w:spacing w:line="300" w:lineRule="auto"/>
              <w:jc w:val="center"/>
              <w:rPr>
                <w:rFonts w:ascii="宋体" w:hAnsi="宋体" w:hint="eastAsia"/>
                <w:bCs/>
                <w:sz w:val="18"/>
                <w:szCs w:val="18"/>
              </w:rPr>
            </w:pPr>
          </w:p>
        </w:tc>
      </w:tr>
      <w:tr w:rsidR="005C3334" w14:paraId="6D0F69F8" w14:textId="77777777" w:rsidTr="00712E2F">
        <w:tc>
          <w:tcPr>
            <w:tcW w:w="2236" w:type="dxa"/>
            <w:vAlign w:val="center"/>
          </w:tcPr>
          <w:p w14:paraId="3B3D8513"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涉及的危险化学品及数量</w:t>
            </w:r>
          </w:p>
        </w:tc>
        <w:tc>
          <w:tcPr>
            <w:tcW w:w="7335" w:type="dxa"/>
            <w:gridSpan w:val="5"/>
            <w:vAlign w:val="center"/>
          </w:tcPr>
          <w:p w14:paraId="4226FEF2" w14:textId="77777777" w:rsidR="005C3334" w:rsidRDefault="005C3334" w:rsidP="00B91B1A">
            <w:pPr>
              <w:spacing w:line="300" w:lineRule="auto"/>
              <w:jc w:val="center"/>
              <w:rPr>
                <w:rFonts w:ascii="宋体" w:hAnsi="宋体" w:hint="eastAsia"/>
                <w:bCs/>
                <w:sz w:val="18"/>
                <w:szCs w:val="18"/>
              </w:rPr>
            </w:pPr>
          </w:p>
        </w:tc>
      </w:tr>
      <w:tr w:rsidR="005C3334" w14:paraId="533CD712" w14:textId="77777777" w:rsidTr="00712E2F">
        <w:tc>
          <w:tcPr>
            <w:tcW w:w="2236" w:type="dxa"/>
            <w:vAlign w:val="center"/>
          </w:tcPr>
          <w:p w14:paraId="03614A0E"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主要产品</w:t>
            </w:r>
          </w:p>
        </w:tc>
        <w:tc>
          <w:tcPr>
            <w:tcW w:w="7335" w:type="dxa"/>
            <w:gridSpan w:val="5"/>
            <w:vAlign w:val="center"/>
          </w:tcPr>
          <w:p w14:paraId="4662B169" w14:textId="77777777" w:rsidR="005C3334" w:rsidRDefault="005C3334" w:rsidP="00B91B1A">
            <w:pPr>
              <w:spacing w:line="300" w:lineRule="auto"/>
              <w:jc w:val="center"/>
              <w:rPr>
                <w:rFonts w:ascii="宋体" w:hAnsi="宋体" w:hint="eastAsia"/>
                <w:sz w:val="18"/>
                <w:szCs w:val="18"/>
              </w:rPr>
            </w:pPr>
          </w:p>
        </w:tc>
      </w:tr>
      <w:tr w:rsidR="005C3334" w14:paraId="6100BA48" w14:textId="77777777" w:rsidTr="00712E2F">
        <w:tc>
          <w:tcPr>
            <w:tcW w:w="2236" w:type="dxa"/>
            <w:vAlign w:val="center"/>
          </w:tcPr>
          <w:p w14:paraId="6013A3C8"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经营范围</w:t>
            </w:r>
          </w:p>
        </w:tc>
        <w:tc>
          <w:tcPr>
            <w:tcW w:w="7335" w:type="dxa"/>
            <w:gridSpan w:val="5"/>
            <w:vAlign w:val="center"/>
          </w:tcPr>
          <w:p w14:paraId="6C7F0C1E" w14:textId="77777777" w:rsidR="005C3334" w:rsidRDefault="005C3334" w:rsidP="00B91B1A">
            <w:pPr>
              <w:spacing w:line="300" w:lineRule="auto"/>
              <w:rPr>
                <w:rFonts w:ascii="宋体" w:hAnsi="宋体" w:cs="宋体" w:hint="eastAsia"/>
                <w:sz w:val="18"/>
                <w:szCs w:val="18"/>
              </w:rPr>
            </w:pPr>
          </w:p>
        </w:tc>
      </w:tr>
      <w:tr w:rsidR="005C3334" w14:paraId="7E81042F" w14:textId="77777777" w:rsidTr="00712E2F">
        <w:tc>
          <w:tcPr>
            <w:tcW w:w="2236" w:type="dxa"/>
            <w:vAlign w:val="center"/>
          </w:tcPr>
          <w:p w14:paraId="73F73ED5" w14:textId="77777777" w:rsidR="005C3334" w:rsidRDefault="005C3334" w:rsidP="00B91B1A">
            <w:pPr>
              <w:spacing w:line="300" w:lineRule="auto"/>
              <w:jc w:val="center"/>
              <w:rPr>
                <w:rFonts w:ascii="宋体" w:hAnsi="宋体" w:hint="eastAsia"/>
                <w:bCs/>
                <w:sz w:val="18"/>
                <w:szCs w:val="18"/>
              </w:rPr>
            </w:pPr>
            <w:r>
              <w:rPr>
                <w:rFonts w:ascii="宋体" w:hAnsi="宋体" w:hint="eastAsia"/>
                <w:bCs/>
                <w:sz w:val="18"/>
                <w:szCs w:val="18"/>
              </w:rPr>
              <w:t>冷库规模</w:t>
            </w:r>
          </w:p>
        </w:tc>
        <w:tc>
          <w:tcPr>
            <w:tcW w:w="7335" w:type="dxa"/>
            <w:gridSpan w:val="5"/>
            <w:vAlign w:val="center"/>
          </w:tcPr>
          <w:p w14:paraId="6F327A0C" w14:textId="77777777" w:rsidR="005C3334" w:rsidRDefault="005C3334" w:rsidP="00B91B1A">
            <w:pPr>
              <w:spacing w:line="300" w:lineRule="auto"/>
              <w:jc w:val="center"/>
              <w:rPr>
                <w:rFonts w:ascii="宋体" w:hAnsi="宋体" w:hint="eastAsia"/>
                <w:bCs/>
                <w:sz w:val="18"/>
                <w:szCs w:val="18"/>
                <w:vertAlign w:val="superscript"/>
              </w:rPr>
            </w:pPr>
          </w:p>
        </w:tc>
      </w:tr>
    </w:tbl>
    <w:p w14:paraId="368A7995" w14:textId="6ACBBB61" w:rsidR="005C3334" w:rsidRDefault="005C3334" w:rsidP="00872B90">
      <w:pPr>
        <w:pStyle w:val="af5"/>
        <w:numPr>
          <w:ilvl w:val="0"/>
          <w:numId w:val="33"/>
        </w:numPr>
      </w:pPr>
      <w:r>
        <w:rPr>
          <w:rFonts w:hint="eastAsia"/>
        </w:rPr>
        <w:t>企业选址和周边环境介绍；</w:t>
      </w:r>
    </w:p>
    <w:p w14:paraId="7967225E"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选址应简述</w:t>
      </w:r>
      <w:r>
        <w:rPr>
          <w:rFonts w:ascii="宋体" w:hAnsi="宋体" w:cs="宋体"/>
          <w:bCs/>
        </w:rPr>
        <w:t>建设项目所在的地理位置、用地面积</w:t>
      </w:r>
      <w:r>
        <w:rPr>
          <w:rFonts w:ascii="宋体" w:hAnsi="宋体" w:cs="宋体" w:hint="eastAsia"/>
          <w:bCs/>
        </w:rPr>
        <w:t>。</w:t>
      </w:r>
    </w:p>
    <w:p w14:paraId="049E56CE" w14:textId="46356EA1"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周边环境应描述至</w:t>
      </w:r>
      <w:r w:rsidRPr="00E33D47">
        <w:rPr>
          <w:rFonts w:ascii="Times New Roman" w:hAnsi="Times New Roman"/>
          <w:bCs/>
        </w:rPr>
        <w:t>少</w:t>
      </w:r>
      <w:r w:rsidRPr="00E33D47">
        <w:rPr>
          <w:rFonts w:ascii="Times New Roman" w:hAnsi="Times New Roman"/>
          <w:bCs/>
        </w:rPr>
        <w:t>200m</w:t>
      </w:r>
      <w:r w:rsidRPr="00E33D47">
        <w:rPr>
          <w:rFonts w:ascii="Times New Roman" w:hAnsi="Times New Roman"/>
          <w:bCs/>
        </w:rPr>
        <w:t>范围内有人员存在的敏感点，特殊敏感点如养老院、学校、政府机关部门等应描述至少</w:t>
      </w:r>
      <w:r w:rsidRPr="00E33D47">
        <w:rPr>
          <w:rFonts w:ascii="Times New Roman" w:hAnsi="Times New Roman"/>
          <w:bCs/>
        </w:rPr>
        <w:t>500m</w:t>
      </w:r>
      <w:r w:rsidRPr="00E33D47">
        <w:rPr>
          <w:rFonts w:ascii="Times New Roman" w:hAnsi="Times New Roman"/>
          <w:bCs/>
        </w:rPr>
        <w:t>范围（见表</w:t>
      </w:r>
      <w:r w:rsidR="00347FC3" w:rsidRPr="00E33D47">
        <w:rPr>
          <w:rFonts w:ascii="Times New Roman" w:hAnsi="Times New Roman"/>
          <w:bCs/>
        </w:rPr>
        <w:t>2</w:t>
      </w:r>
      <w:r w:rsidRPr="00E33D47">
        <w:rPr>
          <w:rFonts w:ascii="Times New Roman" w:hAnsi="Times New Roman"/>
          <w:bCs/>
        </w:rPr>
        <w:t>）</w:t>
      </w:r>
      <w:r>
        <w:rPr>
          <w:rFonts w:ascii="宋体" w:hAnsi="宋体" w:cs="宋体" w:hint="eastAsia"/>
          <w:bCs/>
        </w:rPr>
        <w:t>。</w:t>
      </w:r>
    </w:p>
    <w:p w14:paraId="7F1FBBFE" w14:textId="5EBBDC19" w:rsidR="005C3334" w:rsidRDefault="005C3334" w:rsidP="00347FC3">
      <w:pPr>
        <w:pStyle w:val="aff2"/>
        <w:spacing w:before="120" w:after="120"/>
      </w:pPr>
      <w:r>
        <w:rPr>
          <w:rFonts w:hint="eastAsia"/>
        </w:rPr>
        <w:t>周边敏感点一栏表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346"/>
        <w:gridCol w:w="4709"/>
        <w:gridCol w:w="2211"/>
      </w:tblGrid>
      <w:tr w:rsidR="005C3334" w14:paraId="0A6D07B5" w14:textId="77777777" w:rsidTr="00712E2F">
        <w:trPr>
          <w:trHeight w:val="397"/>
          <w:jc w:val="center"/>
        </w:trPr>
        <w:tc>
          <w:tcPr>
            <w:tcW w:w="1305" w:type="dxa"/>
            <w:tcBorders>
              <w:top w:val="single" w:sz="4" w:space="0" w:color="auto"/>
              <w:left w:val="single" w:sz="4" w:space="0" w:color="auto"/>
              <w:bottom w:val="single" w:sz="4" w:space="0" w:color="auto"/>
              <w:right w:val="single" w:sz="4" w:space="0" w:color="auto"/>
            </w:tcBorders>
            <w:vAlign w:val="center"/>
          </w:tcPr>
          <w:p w14:paraId="7F7BFDC0" w14:textId="77777777" w:rsidR="005C3334" w:rsidRPr="00E33D47" w:rsidRDefault="005C3334" w:rsidP="00712E2F">
            <w:pPr>
              <w:pStyle w:val="xl34"/>
              <w:widowControl w:val="0"/>
              <w:pBdr>
                <w:left w:val="none" w:sz="0" w:space="0" w:color="auto"/>
                <w:bottom w:val="none" w:sz="0" w:space="0" w:color="auto"/>
                <w:right w:val="none" w:sz="0" w:space="0" w:color="auto"/>
              </w:pBdr>
              <w:spacing w:before="0" w:beforeAutospacing="0" w:after="0" w:afterAutospacing="0"/>
              <w:rPr>
                <w:rFonts w:ascii="黑体" w:eastAsia="黑体" w:hAnsi="黑体"/>
                <w:bCs/>
                <w:kern w:val="2"/>
                <w:sz w:val="18"/>
                <w:szCs w:val="18"/>
                <w:lang w:eastAsia="zh-CN"/>
              </w:rPr>
            </w:pPr>
            <w:r w:rsidRPr="00E33D47">
              <w:rPr>
                <w:rFonts w:ascii="黑体" w:eastAsia="黑体" w:hAnsi="黑体"/>
                <w:bCs/>
                <w:kern w:val="2"/>
                <w:sz w:val="18"/>
                <w:szCs w:val="18"/>
                <w:lang w:eastAsia="zh-CN"/>
              </w:rPr>
              <w:t>序号</w:t>
            </w:r>
          </w:p>
        </w:tc>
        <w:tc>
          <w:tcPr>
            <w:tcW w:w="1346" w:type="dxa"/>
            <w:tcBorders>
              <w:top w:val="single" w:sz="4" w:space="0" w:color="auto"/>
              <w:left w:val="single" w:sz="4" w:space="0" w:color="auto"/>
              <w:bottom w:val="single" w:sz="4" w:space="0" w:color="auto"/>
              <w:right w:val="single" w:sz="4" w:space="0" w:color="auto"/>
            </w:tcBorders>
            <w:vAlign w:val="center"/>
          </w:tcPr>
          <w:p w14:paraId="52C29FF7" w14:textId="77777777" w:rsidR="005C3334" w:rsidRPr="00E33D47" w:rsidRDefault="005C3334" w:rsidP="00712E2F">
            <w:pPr>
              <w:pStyle w:val="xl34"/>
              <w:widowControl w:val="0"/>
              <w:pBdr>
                <w:left w:val="none" w:sz="0" w:space="0" w:color="auto"/>
                <w:bottom w:val="none" w:sz="0" w:space="0" w:color="auto"/>
                <w:right w:val="none" w:sz="0" w:space="0" w:color="auto"/>
              </w:pBdr>
              <w:spacing w:before="0" w:beforeAutospacing="0" w:after="0" w:afterAutospacing="0"/>
              <w:rPr>
                <w:rFonts w:ascii="黑体" w:eastAsia="黑体" w:hAnsi="黑体"/>
                <w:bCs/>
                <w:kern w:val="2"/>
                <w:sz w:val="18"/>
                <w:szCs w:val="18"/>
                <w:lang w:eastAsia="zh-CN"/>
              </w:rPr>
            </w:pPr>
            <w:r w:rsidRPr="00E33D47">
              <w:rPr>
                <w:rFonts w:ascii="黑体" w:eastAsia="黑体" w:hAnsi="黑体"/>
                <w:bCs/>
                <w:kern w:val="2"/>
                <w:sz w:val="18"/>
                <w:szCs w:val="18"/>
                <w:lang w:eastAsia="zh-CN"/>
              </w:rPr>
              <w:t>方位</w:t>
            </w:r>
          </w:p>
        </w:tc>
        <w:tc>
          <w:tcPr>
            <w:tcW w:w="4709" w:type="dxa"/>
            <w:tcBorders>
              <w:top w:val="single" w:sz="4" w:space="0" w:color="auto"/>
              <w:left w:val="single" w:sz="4" w:space="0" w:color="auto"/>
              <w:bottom w:val="single" w:sz="4" w:space="0" w:color="auto"/>
              <w:right w:val="single" w:sz="4" w:space="0" w:color="auto"/>
            </w:tcBorders>
            <w:vAlign w:val="center"/>
          </w:tcPr>
          <w:p w14:paraId="0F7FB241" w14:textId="77777777" w:rsidR="005C3334" w:rsidRPr="00E33D47" w:rsidRDefault="005C3334" w:rsidP="00712E2F">
            <w:pPr>
              <w:pStyle w:val="xl34"/>
              <w:widowControl w:val="0"/>
              <w:pBdr>
                <w:left w:val="none" w:sz="0" w:space="0" w:color="auto"/>
                <w:bottom w:val="none" w:sz="0" w:space="0" w:color="auto"/>
                <w:right w:val="none" w:sz="0" w:space="0" w:color="auto"/>
              </w:pBdr>
              <w:spacing w:before="0" w:beforeAutospacing="0" w:after="0" w:afterAutospacing="0"/>
              <w:rPr>
                <w:rFonts w:ascii="黑体" w:eastAsia="黑体" w:hAnsi="黑体"/>
                <w:bCs/>
                <w:kern w:val="2"/>
                <w:sz w:val="18"/>
                <w:szCs w:val="18"/>
                <w:lang w:eastAsia="zh-CN"/>
              </w:rPr>
            </w:pPr>
            <w:r w:rsidRPr="00E33D47">
              <w:rPr>
                <w:rFonts w:ascii="黑体" w:eastAsia="黑体" w:hAnsi="黑体"/>
                <w:bCs/>
                <w:kern w:val="2"/>
                <w:sz w:val="18"/>
                <w:szCs w:val="18"/>
                <w:lang w:eastAsia="zh-CN"/>
              </w:rPr>
              <w:t>周边环境</w:t>
            </w:r>
          </w:p>
        </w:tc>
        <w:tc>
          <w:tcPr>
            <w:tcW w:w="2211" w:type="dxa"/>
            <w:tcBorders>
              <w:top w:val="single" w:sz="4" w:space="0" w:color="auto"/>
              <w:left w:val="single" w:sz="4" w:space="0" w:color="auto"/>
              <w:bottom w:val="single" w:sz="4" w:space="0" w:color="auto"/>
              <w:right w:val="single" w:sz="4" w:space="0" w:color="auto"/>
            </w:tcBorders>
            <w:vAlign w:val="center"/>
          </w:tcPr>
          <w:p w14:paraId="30E63431" w14:textId="77777777" w:rsidR="005C3334" w:rsidRPr="00E33D47" w:rsidRDefault="005C3334" w:rsidP="00712E2F">
            <w:pPr>
              <w:pStyle w:val="xl34"/>
              <w:widowControl w:val="0"/>
              <w:pBdr>
                <w:left w:val="none" w:sz="0" w:space="0" w:color="auto"/>
                <w:bottom w:val="none" w:sz="0" w:space="0" w:color="auto"/>
                <w:right w:val="none" w:sz="0" w:space="0" w:color="auto"/>
              </w:pBdr>
              <w:spacing w:before="0" w:beforeAutospacing="0" w:after="0" w:afterAutospacing="0"/>
              <w:rPr>
                <w:rFonts w:ascii="黑体" w:eastAsia="黑体" w:hAnsi="黑体"/>
                <w:bCs/>
                <w:kern w:val="2"/>
                <w:sz w:val="18"/>
                <w:szCs w:val="18"/>
                <w:lang w:eastAsia="zh-CN"/>
              </w:rPr>
            </w:pPr>
            <w:r w:rsidRPr="00E33D47">
              <w:rPr>
                <w:rFonts w:ascii="黑体" w:eastAsia="黑体" w:hAnsi="黑体"/>
                <w:bCs/>
                <w:kern w:val="2"/>
                <w:sz w:val="18"/>
                <w:szCs w:val="18"/>
                <w:lang w:eastAsia="zh-CN"/>
              </w:rPr>
              <w:t>距离（米）</w:t>
            </w:r>
          </w:p>
        </w:tc>
      </w:tr>
      <w:tr w:rsidR="005C3334" w14:paraId="5F68D13C" w14:textId="77777777" w:rsidTr="00712E2F">
        <w:trPr>
          <w:jc w:val="center"/>
        </w:trPr>
        <w:tc>
          <w:tcPr>
            <w:tcW w:w="1305" w:type="dxa"/>
            <w:tcBorders>
              <w:top w:val="single" w:sz="4" w:space="0" w:color="auto"/>
              <w:left w:val="single" w:sz="4" w:space="0" w:color="auto"/>
              <w:bottom w:val="single" w:sz="4" w:space="0" w:color="auto"/>
              <w:right w:val="single" w:sz="4" w:space="0" w:color="auto"/>
            </w:tcBorders>
            <w:vAlign w:val="center"/>
          </w:tcPr>
          <w:p w14:paraId="13CD5E4F" w14:textId="77777777" w:rsidR="005C3334" w:rsidRDefault="005C3334" w:rsidP="00712E2F">
            <w:pPr>
              <w:jc w:val="center"/>
              <w:rPr>
                <w:rFonts w:ascii="宋体" w:hAnsi="宋体" w:hint="eastAsia"/>
                <w:bCs/>
                <w:sz w:val="18"/>
                <w:szCs w:val="18"/>
              </w:rPr>
            </w:pPr>
            <w:r>
              <w:rPr>
                <w:rFonts w:ascii="宋体" w:hAnsi="宋体" w:hint="eastAsia"/>
                <w:bCs/>
                <w:sz w:val="18"/>
                <w:szCs w:val="18"/>
              </w:rPr>
              <w:t>1</w:t>
            </w:r>
          </w:p>
        </w:tc>
        <w:tc>
          <w:tcPr>
            <w:tcW w:w="1346" w:type="dxa"/>
            <w:tcBorders>
              <w:top w:val="single" w:sz="4" w:space="0" w:color="auto"/>
              <w:left w:val="single" w:sz="4" w:space="0" w:color="auto"/>
              <w:bottom w:val="single" w:sz="4" w:space="0" w:color="auto"/>
              <w:right w:val="single" w:sz="4" w:space="0" w:color="auto"/>
            </w:tcBorders>
            <w:vAlign w:val="center"/>
          </w:tcPr>
          <w:p w14:paraId="48A7AEFA" w14:textId="77777777" w:rsidR="005C3334" w:rsidRDefault="005C3334" w:rsidP="00712E2F">
            <w:pPr>
              <w:jc w:val="center"/>
              <w:rPr>
                <w:rFonts w:ascii="宋体" w:hAnsi="宋体" w:hint="eastAsia"/>
                <w:bCs/>
                <w:sz w:val="18"/>
                <w:szCs w:val="18"/>
              </w:rPr>
            </w:pPr>
            <w:r>
              <w:rPr>
                <w:rFonts w:ascii="宋体" w:hAnsi="宋体" w:hint="eastAsia"/>
                <w:bCs/>
                <w:sz w:val="18"/>
                <w:szCs w:val="18"/>
              </w:rPr>
              <w:t>东</w:t>
            </w:r>
          </w:p>
        </w:tc>
        <w:tc>
          <w:tcPr>
            <w:tcW w:w="4709" w:type="dxa"/>
            <w:tcBorders>
              <w:top w:val="single" w:sz="4" w:space="0" w:color="auto"/>
              <w:left w:val="single" w:sz="4" w:space="0" w:color="auto"/>
              <w:bottom w:val="single" w:sz="4" w:space="0" w:color="auto"/>
              <w:right w:val="single" w:sz="4" w:space="0" w:color="auto"/>
            </w:tcBorders>
            <w:vAlign w:val="center"/>
          </w:tcPr>
          <w:p w14:paraId="63F08216" w14:textId="77777777" w:rsidR="005C3334" w:rsidRDefault="005C3334" w:rsidP="00712E2F">
            <w:pPr>
              <w:jc w:val="center"/>
              <w:rPr>
                <w:rFonts w:ascii="宋体" w:hAnsi="宋体" w:hint="eastAsia"/>
                <w:bCs/>
                <w:sz w:val="18"/>
                <w:szCs w:val="18"/>
              </w:rPr>
            </w:pPr>
          </w:p>
        </w:tc>
        <w:tc>
          <w:tcPr>
            <w:tcW w:w="2211" w:type="dxa"/>
            <w:tcBorders>
              <w:top w:val="single" w:sz="4" w:space="0" w:color="auto"/>
              <w:left w:val="single" w:sz="4" w:space="0" w:color="auto"/>
              <w:bottom w:val="single" w:sz="4" w:space="0" w:color="auto"/>
              <w:right w:val="single" w:sz="4" w:space="0" w:color="auto"/>
            </w:tcBorders>
            <w:vAlign w:val="center"/>
          </w:tcPr>
          <w:p w14:paraId="1CBB7AF5" w14:textId="77777777" w:rsidR="005C3334" w:rsidRDefault="005C3334" w:rsidP="00712E2F">
            <w:pPr>
              <w:jc w:val="center"/>
              <w:rPr>
                <w:rFonts w:ascii="宋体" w:hAnsi="宋体" w:hint="eastAsia"/>
                <w:bCs/>
                <w:sz w:val="18"/>
                <w:szCs w:val="18"/>
              </w:rPr>
            </w:pPr>
          </w:p>
        </w:tc>
      </w:tr>
    </w:tbl>
    <w:p w14:paraId="532FC888" w14:textId="76DF7159" w:rsidR="005C3334" w:rsidRDefault="005C3334" w:rsidP="00872B90">
      <w:pPr>
        <w:pStyle w:val="af5"/>
        <w:numPr>
          <w:ilvl w:val="0"/>
          <w:numId w:val="34"/>
        </w:numPr>
      </w:pPr>
      <w:r>
        <w:rPr>
          <w:rFonts w:hint="eastAsia"/>
        </w:rPr>
        <w:t>企业总图布置和建构筑物情况；</w:t>
      </w:r>
    </w:p>
    <w:p w14:paraId="6B2CEC29"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总图布置应描述全厂主要建构筑物（装置和设施）的布局，厂区出入口设置，消防通道设置等情况。</w:t>
      </w:r>
    </w:p>
    <w:p w14:paraId="356CCA2B"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建构筑物情况应描述层数、占地面积、耐火等级、火灾危险性分类等基本情况</w:t>
      </w:r>
      <w:r w:rsidRPr="00E33D47">
        <w:rPr>
          <w:rFonts w:ascii="Times New Roman" w:hAnsi="Times New Roman"/>
          <w:bCs/>
        </w:rPr>
        <w:t>（见表</w:t>
      </w:r>
      <w:r w:rsidRPr="00E33D47">
        <w:rPr>
          <w:rFonts w:ascii="Times New Roman" w:hAnsi="Times New Roman"/>
          <w:bCs/>
        </w:rPr>
        <w:t>3</w:t>
      </w:r>
      <w:r w:rsidRPr="00E33D47">
        <w:rPr>
          <w:rFonts w:ascii="Times New Roman" w:hAnsi="Times New Roman"/>
          <w:bCs/>
        </w:rPr>
        <w:t>），建构筑物之间的距离应列表描述（见表</w:t>
      </w:r>
      <w:r w:rsidRPr="00E33D47">
        <w:rPr>
          <w:rFonts w:ascii="Times New Roman" w:hAnsi="Times New Roman"/>
          <w:bCs/>
        </w:rPr>
        <w:t>4</w:t>
      </w:r>
      <w:r w:rsidRPr="00E33D47">
        <w:rPr>
          <w:rFonts w:ascii="Times New Roman" w:hAnsi="Times New Roman"/>
          <w:bCs/>
        </w:rPr>
        <w:t>）</w:t>
      </w:r>
      <w:r>
        <w:rPr>
          <w:rFonts w:ascii="宋体" w:hAnsi="宋体" w:cs="宋体" w:hint="eastAsia"/>
          <w:bCs/>
        </w:rPr>
        <w:t>。</w:t>
      </w:r>
    </w:p>
    <w:p w14:paraId="2994B567" w14:textId="610B7B64" w:rsidR="005C3334" w:rsidRDefault="005C3334" w:rsidP="00347FC3">
      <w:pPr>
        <w:pStyle w:val="aff2"/>
        <w:spacing w:before="120" w:after="120"/>
      </w:pPr>
      <w:r>
        <w:rPr>
          <w:rFonts w:hint="eastAsia"/>
        </w:rPr>
        <w:t>建构筑物一览表</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60"/>
        <w:gridCol w:w="1233"/>
        <w:gridCol w:w="1554"/>
        <w:gridCol w:w="1365"/>
        <w:gridCol w:w="1589"/>
        <w:gridCol w:w="1099"/>
      </w:tblGrid>
      <w:tr w:rsidR="005C3334" w14:paraId="35649235" w14:textId="77777777" w:rsidTr="00E33D47">
        <w:trPr>
          <w:trHeight w:val="470"/>
        </w:trPr>
        <w:tc>
          <w:tcPr>
            <w:tcW w:w="771" w:type="dxa"/>
            <w:vAlign w:val="center"/>
          </w:tcPr>
          <w:p w14:paraId="49000BD5"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序号</w:t>
            </w:r>
          </w:p>
        </w:tc>
        <w:tc>
          <w:tcPr>
            <w:tcW w:w="1960" w:type="dxa"/>
            <w:vAlign w:val="center"/>
          </w:tcPr>
          <w:p w14:paraId="21D2B4EF"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建筑物</w:t>
            </w:r>
          </w:p>
        </w:tc>
        <w:tc>
          <w:tcPr>
            <w:tcW w:w="1233" w:type="dxa"/>
            <w:vAlign w:val="center"/>
          </w:tcPr>
          <w:p w14:paraId="2B740466"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层数</w:t>
            </w:r>
          </w:p>
        </w:tc>
        <w:tc>
          <w:tcPr>
            <w:tcW w:w="1554" w:type="dxa"/>
            <w:vAlign w:val="center"/>
          </w:tcPr>
          <w:p w14:paraId="1CD99326"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占地面积（m</w:t>
            </w:r>
            <w:r w:rsidRPr="00E33D47">
              <w:rPr>
                <w:rFonts w:ascii="黑体" w:eastAsia="黑体" w:hAnsi="黑体" w:hint="eastAsia"/>
                <w:color w:val="000000"/>
                <w:sz w:val="18"/>
                <w:szCs w:val="15"/>
                <w:vertAlign w:val="superscript"/>
              </w:rPr>
              <w:t>2</w:t>
            </w:r>
            <w:r w:rsidRPr="00E33D47">
              <w:rPr>
                <w:rFonts w:ascii="黑体" w:eastAsia="黑体" w:hAnsi="黑体" w:hint="eastAsia"/>
                <w:color w:val="000000"/>
                <w:sz w:val="18"/>
                <w:szCs w:val="15"/>
              </w:rPr>
              <w:t>）</w:t>
            </w:r>
          </w:p>
        </w:tc>
        <w:tc>
          <w:tcPr>
            <w:tcW w:w="1365" w:type="dxa"/>
            <w:vAlign w:val="center"/>
          </w:tcPr>
          <w:p w14:paraId="61EEE754"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耐火等级</w:t>
            </w:r>
          </w:p>
        </w:tc>
        <w:tc>
          <w:tcPr>
            <w:tcW w:w="1589" w:type="dxa"/>
            <w:vAlign w:val="center"/>
          </w:tcPr>
          <w:p w14:paraId="252D6925"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火灾危险性类别</w:t>
            </w:r>
          </w:p>
        </w:tc>
        <w:tc>
          <w:tcPr>
            <w:tcW w:w="1099" w:type="dxa"/>
            <w:vAlign w:val="center"/>
          </w:tcPr>
          <w:p w14:paraId="5A276BEF" w14:textId="77777777" w:rsidR="005C3334" w:rsidRPr="00E33D47" w:rsidRDefault="005C3334" w:rsidP="00712E2F">
            <w:pPr>
              <w:jc w:val="center"/>
              <w:rPr>
                <w:rFonts w:ascii="黑体" w:eastAsia="黑体" w:hAnsi="黑体" w:hint="eastAsia"/>
                <w:color w:val="000000"/>
                <w:sz w:val="18"/>
                <w:szCs w:val="15"/>
              </w:rPr>
            </w:pPr>
            <w:r w:rsidRPr="00E33D47">
              <w:rPr>
                <w:rFonts w:ascii="黑体" w:eastAsia="黑体" w:hAnsi="黑体" w:hint="eastAsia"/>
                <w:color w:val="000000"/>
                <w:sz w:val="18"/>
                <w:szCs w:val="15"/>
              </w:rPr>
              <w:t>备注</w:t>
            </w:r>
          </w:p>
        </w:tc>
      </w:tr>
      <w:tr w:rsidR="005C3334" w14:paraId="6A4B6032" w14:textId="77777777" w:rsidTr="00E33D47">
        <w:tc>
          <w:tcPr>
            <w:tcW w:w="771" w:type="dxa"/>
            <w:vAlign w:val="center"/>
          </w:tcPr>
          <w:p w14:paraId="6E49C1AF" w14:textId="77777777" w:rsidR="005C3334" w:rsidRDefault="005C3334" w:rsidP="00712E2F">
            <w:pPr>
              <w:jc w:val="center"/>
              <w:rPr>
                <w:rFonts w:ascii="宋体" w:hAnsi="宋体" w:hint="eastAsia"/>
                <w:color w:val="000000"/>
                <w:sz w:val="18"/>
                <w:szCs w:val="15"/>
              </w:rPr>
            </w:pPr>
            <w:r>
              <w:rPr>
                <w:rFonts w:ascii="宋体" w:hAnsi="宋体" w:hint="eastAsia"/>
                <w:color w:val="000000"/>
                <w:sz w:val="18"/>
                <w:szCs w:val="15"/>
              </w:rPr>
              <w:t>1</w:t>
            </w:r>
          </w:p>
        </w:tc>
        <w:tc>
          <w:tcPr>
            <w:tcW w:w="1960" w:type="dxa"/>
            <w:vAlign w:val="center"/>
          </w:tcPr>
          <w:p w14:paraId="1E984CE3" w14:textId="77777777" w:rsidR="005C3334" w:rsidRDefault="005C3334" w:rsidP="00712E2F">
            <w:pPr>
              <w:jc w:val="center"/>
              <w:rPr>
                <w:rFonts w:ascii="宋体" w:hAnsi="宋体" w:hint="eastAsia"/>
                <w:color w:val="000000"/>
                <w:sz w:val="18"/>
                <w:szCs w:val="15"/>
              </w:rPr>
            </w:pPr>
          </w:p>
        </w:tc>
        <w:tc>
          <w:tcPr>
            <w:tcW w:w="1233" w:type="dxa"/>
            <w:vAlign w:val="center"/>
          </w:tcPr>
          <w:p w14:paraId="53CA731C" w14:textId="77777777" w:rsidR="005C3334" w:rsidRDefault="005C3334" w:rsidP="00712E2F">
            <w:pPr>
              <w:jc w:val="center"/>
              <w:rPr>
                <w:rFonts w:ascii="宋体" w:hAnsi="宋体" w:hint="eastAsia"/>
                <w:color w:val="000000"/>
                <w:sz w:val="18"/>
                <w:szCs w:val="15"/>
              </w:rPr>
            </w:pPr>
          </w:p>
        </w:tc>
        <w:tc>
          <w:tcPr>
            <w:tcW w:w="1554" w:type="dxa"/>
            <w:vAlign w:val="center"/>
          </w:tcPr>
          <w:p w14:paraId="18AEE06D" w14:textId="77777777" w:rsidR="005C3334" w:rsidRDefault="005C3334" w:rsidP="00712E2F">
            <w:pPr>
              <w:jc w:val="center"/>
              <w:rPr>
                <w:rFonts w:ascii="宋体" w:hAnsi="宋体" w:hint="eastAsia"/>
                <w:color w:val="000000"/>
                <w:sz w:val="18"/>
                <w:szCs w:val="15"/>
              </w:rPr>
            </w:pPr>
          </w:p>
        </w:tc>
        <w:tc>
          <w:tcPr>
            <w:tcW w:w="1365" w:type="dxa"/>
            <w:vAlign w:val="center"/>
          </w:tcPr>
          <w:p w14:paraId="07E4749E" w14:textId="77777777" w:rsidR="005C3334" w:rsidRDefault="005C3334" w:rsidP="00712E2F">
            <w:pPr>
              <w:jc w:val="center"/>
              <w:rPr>
                <w:rFonts w:ascii="宋体" w:hAnsi="宋体" w:hint="eastAsia"/>
                <w:color w:val="000000"/>
                <w:sz w:val="18"/>
                <w:szCs w:val="15"/>
              </w:rPr>
            </w:pPr>
          </w:p>
        </w:tc>
        <w:tc>
          <w:tcPr>
            <w:tcW w:w="1589" w:type="dxa"/>
            <w:vAlign w:val="center"/>
          </w:tcPr>
          <w:p w14:paraId="625A7BA8" w14:textId="77777777" w:rsidR="005C3334" w:rsidRDefault="005C3334" w:rsidP="00712E2F">
            <w:pPr>
              <w:jc w:val="center"/>
              <w:rPr>
                <w:rFonts w:ascii="宋体" w:hAnsi="宋体" w:hint="eastAsia"/>
                <w:color w:val="000000"/>
                <w:sz w:val="18"/>
                <w:szCs w:val="15"/>
              </w:rPr>
            </w:pPr>
          </w:p>
        </w:tc>
        <w:tc>
          <w:tcPr>
            <w:tcW w:w="1099" w:type="dxa"/>
            <w:vAlign w:val="center"/>
          </w:tcPr>
          <w:p w14:paraId="4446C6F4" w14:textId="77777777" w:rsidR="005C3334" w:rsidRDefault="005C3334" w:rsidP="00712E2F">
            <w:pPr>
              <w:jc w:val="center"/>
              <w:rPr>
                <w:rFonts w:ascii="宋体" w:hAnsi="宋体" w:hint="eastAsia"/>
                <w:color w:val="000000"/>
                <w:sz w:val="18"/>
                <w:szCs w:val="15"/>
              </w:rPr>
            </w:pPr>
          </w:p>
        </w:tc>
      </w:tr>
    </w:tbl>
    <w:p w14:paraId="04045704" w14:textId="77777777" w:rsidR="00E33D47" w:rsidRDefault="00E33D47" w:rsidP="00E33D47">
      <w:pPr>
        <w:pStyle w:val="aff2"/>
        <w:numPr>
          <w:ilvl w:val="0"/>
          <w:numId w:val="0"/>
        </w:numPr>
        <w:spacing w:before="120" w:after="120"/>
        <w:jc w:val="both"/>
      </w:pPr>
    </w:p>
    <w:p w14:paraId="653615C3" w14:textId="77777777" w:rsidR="00B91B1A" w:rsidRDefault="00B91B1A" w:rsidP="00B91B1A">
      <w:pPr>
        <w:pStyle w:val="affffb"/>
        <w:ind w:firstLine="420"/>
      </w:pPr>
    </w:p>
    <w:p w14:paraId="6E29254F" w14:textId="77777777" w:rsidR="00B91B1A" w:rsidRPr="00B91B1A" w:rsidRDefault="00B91B1A" w:rsidP="00B91B1A">
      <w:pPr>
        <w:pStyle w:val="affffb"/>
        <w:ind w:firstLine="420"/>
        <w:rPr>
          <w:rFonts w:hint="eastAsia"/>
        </w:rPr>
      </w:pPr>
    </w:p>
    <w:p w14:paraId="68B64B08" w14:textId="554CF29D" w:rsidR="005C3334" w:rsidRDefault="005C3334" w:rsidP="00E33D47">
      <w:pPr>
        <w:pStyle w:val="aff2"/>
        <w:spacing w:before="120" w:after="120"/>
      </w:pPr>
      <w:r>
        <w:rPr>
          <w:rFonts w:hint="eastAsia"/>
        </w:rPr>
        <w:lastRenderedPageBreak/>
        <w:t>建构筑物间距一览表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639"/>
        <w:gridCol w:w="4452"/>
        <w:gridCol w:w="1696"/>
      </w:tblGrid>
      <w:tr w:rsidR="005C3334" w14:paraId="4652EC2B" w14:textId="77777777" w:rsidTr="00712E2F">
        <w:trPr>
          <w:trHeight w:val="227"/>
          <w:jc w:val="center"/>
        </w:trPr>
        <w:tc>
          <w:tcPr>
            <w:tcW w:w="1784" w:type="dxa"/>
            <w:vAlign w:val="center"/>
          </w:tcPr>
          <w:p w14:paraId="34696F30" w14:textId="77777777" w:rsidR="005C3334" w:rsidRPr="00E33D47" w:rsidRDefault="005C3334" w:rsidP="00712E2F">
            <w:pPr>
              <w:jc w:val="center"/>
              <w:rPr>
                <w:rFonts w:ascii="黑体" w:eastAsia="黑体" w:hAnsi="黑体" w:hint="eastAsia"/>
                <w:color w:val="000000"/>
                <w:sz w:val="18"/>
                <w:szCs w:val="18"/>
              </w:rPr>
            </w:pPr>
            <w:r w:rsidRPr="00E33D47">
              <w:rPr>
                <w:rFonts w:ascii="黑体" w:eastAsia="黑体" w:hAnsi="黑体" w:hint="eastAsia"/>
                <w:color w:val="000000"/>
                <w:sz w:val="18"/>
                <w:szCs w:val="18"/>
              </w:rPr>
              <w:t>厂内建构筑物名称</w:t>
            </w:r>
          </w:p>
        </w:tc>
        <w:tc>
          <w:tcPr>
            <w:tcW w:w="1639" w:type="dxa"/>
            <w:vAlign w:val="center"/>
          </w:tcPr>
          <w:p w14:paraId="4BDB52E3" w14:textId="77777777" w:rsidR="005C3334" w:rsidRPr="00E33D47" w:rsidRDefault="005C3334" w:rsidP="00712E2F">
            <w:pPr>
              <w:jc w:val="center"/>
              <w:rPr>
                <w:rFonts w:ascii="黑体" w:eastAsia="黑体" w:hAnsi="黑体" w:hint="eastAsia"/>
                <w:color w:val="000000"/>
                <w:sz w:val="18"/>
                <w:szCs w:val="18"/>
              </w:rPr>
            </w:pPr>
            <w:r w:rsidRPr="00E33D47">
              <w:rPr>
                <w:rFonts w:ascii="黑体" w:eastAsia="黑体" w:hAnsi="黑体" w:hint="eastAsia"/>
                <w:color w:val="000000"/>
                <w:sz w:val="18"/>
                <w:szCs w:val="18"/>
              </w:rPr>
              <w:t>方位</w:t>
            </w:r>
          </w:p>
        </w:tc>
        <w:tc>
          <w:tcPr>
            <w:tcW w:w="4452" w:type="dxa"/>
            <w:vAlign w:val="center"/>
          </w:tcPr>
          <w:p w14:paraId="3807AF20" w14:textId="77777777" w:rsidR="005C3334" w:rsidRPr="00E33D47" w:rsidRDefault="005C3334" w:rsidP="00712E2F">
            <w:pPr>
              <w:jc w:val="center"/>
              <w:rPr>
                <w:rFonts w:ascii="黑体" w:eastAsia="黑体" w:hAnsi="黑体" w:hint="eastAsia"/>
                <w:color w:val="000000"/>
                <w:sz w:val="18"/>
                <w:szCs w:val="18"/>
              </w:rPr>
            </w:pPr>
            <w:r w:rsidRPr="00E33D47">
              <w:rPr>
                <w:rFonts w:ascii="黑体" w:eastAsia="黑体" w:hAnsi="黑体" w:hint="eastAsia"/>
                <w:color w:val="000000"/>
                <w:sz w:val="18"/>
                <w:szCs w:val="18"/>
              </w:rPr>
              <w:t>周边建构筑物</w:t>
            </w:r>
          </w:p>
        </w:tc>
        <w:tc>
          <w:tcPr>
            <w:tcW w:w="1696" w:type="dxa"/>
            <w:vAlign w:val="center"/>
          </w:tcPr>
          <w:p w14:paraId="19D61E3E" w14:textId="77777777" w:rsidR="005C3334" w:rsidRPr="00E33D47" w:rsidRDefault="005C3334" w:rsidP="00712E2F">
            <w:pPr>
              <w:jc w:val="center"/>
              <w:rPr>
                <w:rFonts w:ascii="黑体" w:eastAsia="黑体" w:hAnsi="黑体" w:hint="eastAsia"/>
                <w:color w:val="000000"/>
                <w:sz w:val="18"/>
                <w:szCs w:val="18"/>
              </w:rPr>
            </w:pPr>
            <w:r w:rsidRPr="00E33D47">
              <w:rPr>
                <w:rFonts w:ascii="黑体" w:eastAsia="黑体" w:hAnsi="黑体" w:hint="eastAsia"/>
                <w:color w:val="000000"/>
                <w:sz w:val="18"/>
                <w:szCs w:val="18"/>
              </w:rPr>
              <w:t>距离</w:t>
            </w:r>
          </w:p>
        </w:tc>
      </w:tr>
      <w:tr w:rsidR="005C3334" w14:paraId="7FA05996" w14:textId="77777777" w:rsidTr="00712E2F">
        <w:trPr>
          <w:trHeight w:val="227"/>
          <w:jc w:val="center"/>
        </w:trPr>
        <w:tc>
          <w:tcPr>
            <w:tcW w:w="1784" w:type="dxa"/>
            <w:vAlign w:val="center"/>
          </w:tcPr>
          <w:p w14:paraId="763AF793" w14:textId="77777777" w:rsidR="005C3334" w:rsidRDefault="005C3334" w:rsidP="00712E2F">
            <w:pPr>
              <w:jc w:val="center"/>
              <w:rPr>
                <w:rFonts w:ascii="宋体" w:hAnsi="宋体" w:hint="eastAsia"/>
                <w:color w:val="000000"/>
                <w:sz w:val="18"/>
                <w:szCs w:val="18"/>
              </w:rPr>
            </w:pPr>
          </w:p>
        </w:tc>
        <w:tc>
          <w:tcPr>
            <w:tcW w:w="1639" w:type="dxa"/>
            <w:vAlign w:val="center"/>
          </w:tcPr>
          <w:p w14:paraId="4F38A6F5" w14:textId="77777777" w:rsidR="005C3334" w:rsidRDefault="005C3334" w:rsidP="00712E2F">
            <w:pPr>
              <w:jc w:val="center"/>
              <w:rPr>
                <w:rFonts w:ascii="宋体" w:hAnsi="宋体" w:hint="eastAsia"/>
                <w:color w:val="000000"/>
                <w:sz w:val="18"/>
                <w:szCs w:val="18"/>
              </w:rPr>
            </w:pPr>
          </w:p>
        </w:tc>
        <w:tc>
          <w:tcPr>
            <w:tcW w:w="4452" w:type="dxa"/>
            <w:vAlign w:val="center"/>
          </w:tcPr>
          <w:p w14:paraId="4B69D5DA" w14:textId="77777777" w:rsidR="005C3334" w:rsidRDefault="005C3334" w:rsidP="00712E2F">
            <w:pPr>
              <w:jc w:val="center"/>
              <w:rPr>
                <w:rFonts w:ascii="宋体" w:hAnsi="宋体" w:hint="eastAsia"/>
                <w:color w:val="000000"/>
                <w:sz w:val="18"/>
                <w:szCs w:val="18"/>
              </w:rPr>
            </w:pPr>
          </w:p>
        </w:tc>
        <w:tc>
          <w:tcPr>
            <w:tcW w:w="1696" w:type="dxa"/>
            <w:vAlign w:val="center"/>
          </w:tcPr>
          <w:p w14:paraId="363DE5A9" w14:textId="77777777" w:rsidR="005C3334" w:rsidRDefault="005C3334" w:rsidP="00712E2F">
            <w:pPr>
              <w:jc w:val="center"/>
              <w:rPr>
                <w:rFonts w:ascii="宋体" w:hAnsi="宋体" w:hint="eastAsia"/>
                <w:color w:val="000000"/>
                <w:sz w:val="18"/>
                <w:szCs w:val="18"/>
              </w:rPr>
            </w:pPr>
          </w:p>
        </w:tc>
      </w:tr>
    </w:tbl>
    <w:p w14:paraId="4599BD7D" w14:textId="06CDC1AD" w:rsidR="005C3334" w:rsidRDefault="005C3334" w:rsidP="00872B90">
      <w:pPr>
        <w:pStyle w:val="af5"/>
        <w:numPr>
          <w:ilvl w:val="0"/>
          <w:numId w:val="35"/>
        </w:numPr>
      </w:pPr>
      <w:r>
        <w:rPr>
          <w:rFonts w:hint="eastAsia"/>
        </w:rPr>
        <w:t>生产工艺流程、主要生产设备设施和主要原辅材料；</w:t>
      </w:r>
    </w:p>
    <w:p w14:paraId="360730C3"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生产工艺路程应描述全厂涉及的所有工艺流程，并全流程描述。工艺流程宜附工艺流程简图。</w:t>
      </w:r>
    </w:p>
    <w:p w14:paraId="4CE68633"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主要生产设备设施应列表描述</w:t>
      </w:r>
      <w:r w:rsidRPr="00E33D47">
        <w:rPr>
          <w:rFonts w:ascii="Times New Roman" w:hAnsi="Times New Roman"/>
          <w:bCs/>
        </w:rPr>
        <w:t>（见表</w:t>
      </w:r>
      <w:r w:rsidRPr="00E33D47">
        <w:rPr>
          <w:rFonts w:ascii="Times New Roman" w:hAnsi="Times New Roman"/>
          <w:bCs/>
        </w:rPr>
        <w:t>5</w:t>
      </w:r>
      <w:r w:rsidRPr="00E33D47">
        <w:rPr>
          <w:rFonts w:ascii="Times New Roman" w:hAnsi="Times New Roman"/>
          <w:bCs/>
        </w:rPr>
        <w:t>）。主要原辅材料应列表描述（见表</w:t>
      </w:r>
      <w:r w:rsidRPr="00E33D47">
        <w:rPr>
          <w:rFonts w:ascii="Times New Roman" w:hAnsi="Times New Roman"/>
          <w:bCs/>
        </w:rPr>
        <w:t>6</w:t>
      </w:r>
      <w:r w:rsidRPr="00E33D47">
        <w:rPr>
          <w:rFonts w:ascii="Times New Roman" w:hAnsi="Times New Roman"/>
          <w:bCs/>
        </w:rPr>
        <w:t>）</w:t>
      </w:r>
      <w:r>
        <w:rPr>
          <w:rFonts w:ascii="宋体" w:hAnsi="宋体" w:cs="宋体" w:hint="eastAsia"/>
          <w:bCs/>
        </w:rPr>
        <w:t>。</w:t>
      </w:r>
    </w:p>
    <w:p w14:paraId="42B738CE" w14:textId="003658D8" w:rsidR="005C3334" w:rsidRDefault="005C3334" w:rsidP="00347FC3">
      <w:pPr>
        <w:pStyle w:val="aff2"/>
        <w:spacing w:before="120" w:after="120"/>
      </w:pPr>
      <w:r>
        <w:rPr>
          <w:rFonts w:hint="eastAsia"/>
        </w:rPr>
        <w:t>主要设备设施一览表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24"/>
        <w:gridCol w:w="1221"/>
        <w:gridCol w:w="630"/>
        <w:gridCol w:w="1024"/>
        <w:gridCol w:w="2599"/>
        <w:gridCol w:w="1813"/>
        <w:gridCol w:w="630"/>
      </w:tblGrid>
      <w:tr w:rsidR="005C3334" w14:paraId="60F7657E" w14:textId="77777777" w:rsidTr="00712E2F">
        <w:trPr>
          <w:jc w:val="center"/>
        </w:trPr>
        <w:tc>
          <w:tcPr>
            <w:tcW w:w="630" w:type="dxa"/>
            <w:vAlign w:val="center"/>
          </w:tcPr>
          <w:p w14:paraId="0A0B0E5B"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序号</w:t>
            </w:r>
          </w:p>
        </w:tc>
        <w:tc>
          <w:tcPr>
            <w:tcW w:w="1024" w:type="dxa"/>
            <w:vAlign w:val="center"/>
          </w:tcPr>
          <w:p w14:paraId="65327287"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设备名称</w:t>
            </w:r>
          </w:p>
        </w:tc>
        <w:tc>
          <w:tcPr>
            <w:tcW w:w="1221" w:type="dxa"/>
          </w:tcPr>
          <w:p w14:paraId="5B608B18"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规格、型号</w:t>
            </w:r>
          </w:p>
        </w:tc>
        <w:tc>
          <w:tcPr>
            <w:tcW w:w="630" w:type="dxa"/>
            <w:vAlign w:val="center"/>
          </w:tcPr>
          <w:p w14:paraId="21C500B2"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数量</w:t>
            </w:r>
          </w:p>
        </w:tc>
        <w:tc>
          <w:tcPr>
            <w:tcW w:w="1024" w:type="dxa"/>
            <w:vAlign w:val="center"/>
          </w:tcPr>
          <w:p w14:paraId="1DB87280"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生产厂家</w:t>
            </w:r>
          </w:p>
        </w:tc>
        <w:tc>
          <w:tcPr>
            <w:tcW w:w="2599" w:type="dxa"/>
            <w:vAlign w:val="center"/>
          </w:tcPr>
          <w:p w14:paraId="480D5711"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压力容器全面检验报告编号</w:t>
            </w:r>
          </w:p>
        </w:tc>
        <w:tc>
          <w:tcPr>
            <w:tcW w:w="1813" w:type="dxa"/>
            <w:vAlign w:val="center"/>
          </w:tcPr>
          <w:p w14:paraId="42D1F45A"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压力容器使用证号</w:t>
            </w:r>
          </w:p>
        </w:tc>
        <w:tc>
          <w:tcPr>
            <w:tcW w:w="630" w:type="dxa"/>
            <w:vAlign w:val="center"/>
          </w:tcPr>
          <w:p w14:paraId="0B97FDFC" w14:textId="77777777" w:rsidR="005C3334" w:rsidRPr="00E33D47" w:rsidRDefault="005C3334" w:rsidP="00712E2F">
            <w:pPr>
              <w:jc w:val="center"/>
              <w:rPr>
                <w:rFonts w:ascii="黑体" w:eastAsia="黑体" w:hAnsi="黑体" w:cs="宋体" w:hint="eastAsia"/>
                <w:sz w:val="18"/>
                <w:szCs w:val="15"/>
              </w:rPr>
            </w:pPr>
            <w:r w:rsidRPr="00E33D47">
              <w:rPr>
                <w:rFonts w:ascii="黑体" w:eastAsia="黑体" w:hAnsi="黑体" w:cs="宋体" w:hint="eastAsia"/>
                <w:sz w:val="18"/>
                <w:szCs w:val="15"/>
              </w:rPr>
              <w:t>备注</w:t>
            </w:r>
          </w:p>
        </w:tc>
      </w:tr>
      <w:tr w:rsidR="005C3334" w14:paraId="1C5B1650" w14:textId="77777777" w:rsidTr="00712E2F">
        <w:trPr>
          <w:jc w:val="center"/>
        </w:trPr>
        <w:tc>
          <w:tcPr>
            <w:tcW w:w="630" w:type="dxa"/>
            <w:vAlign w:val="center"/>
          </w:tcPr>
          <w:p w14:paraId="0DFD6E6A" w14:textId="77777777" w:rsidR="005C3334" w:rsidRDefault="005C3334" w:rsidP="00712E2F">
            <w:pPr>
              <w:jc w:val="center"/>
              <w:rPr>
                <w:rFonts w:ascii="宋体" w:hAnsi="宋体" w:cs="宋体" w:hint="eastAsia"/>
                <w:sz w:val="18"/>
                <w:szCs w:val="15"/>
              </w:rPr>
            </w:pPr>
          </w:p>
        </w:tc>
        <w:tc>
          <w:tcPr>
            <w:tcW w:w="1024" w:type="dxa"/>
            <w:vAlign w:val="center"/>
          </w:tcPr>
          <w:p w14:paraId="4E81919A" w14:textId="77777777" w:rsidR="005C3334" w:rsidRDefault="005C3334" w:rsidP="00712E2F">
            <w:pPr>
              <w:jc w:val="center"/>
              <w:rPr>
                <w:rFonts w:ascii="宋体" w:hAnsi="宋体" w:cs="宋体" w:hint="eastAsia"/>
                <w:sz w:val="18"/>
                <w:szCs w:val="15"/>
              </w:rPr>
            </w:pPr>
          </w:p>
        </w:tc>
        <w:tc>
          <w:tcPr>
            <w:tcW w:w="1221" w:type="dxa"/>
          </w:tcPr>
          <w:p w14:paraId="5BBBAA85" w14:textId="77777777" w:rsidR="005C3334" w:rsidRDefault="005C3334" w:rsidP="00712E2F">
            <w:pPr>
              <w:jc w:val="center"/>
              <w:rPr>
                <w:rFonts w:ascii="宋体" w:hAnsi="宋体" w:cs="宋体" w:hint="eastAsia"/>
                <w:sz w:val="18"/>
                <w:szCs w:val="15"/>
              </w:rPr>
            </w:pPr>
          </w:p>
        </w:tc>
        <w:tc>
          <w:tcPr>
            <w:tcW w:w="630" w:type="dxa"/>
            <w:vAlign w:val="center"/>
          </w:tcPr>
          <w:p w14:paraId="49898788" w14:textId="77777777" w:rsidR="005C3334" w:rsidRDefault="005C3334" w:rsidP="00712E2F">
            <w:pPr>
              <w:jc w:val="center"/>
              <w:rPr>
                <w:rFonts w:ascii="宋体" w:hAnsi="宋体" w:cs="宋体" w:hint="eastAsia"/>
                <w:sz w:val="18"/>
                <w:szCs w:val="15"/>
              </w:rPr>
            </w:pPr>
          </w:p>
        </w:tc>
        <w:tc>
          <w:tcPr>
            <w:tcW w:w="1024" w:type="dxa"/>
            <w:vAlign w:val="center"/>
          </w:tcPr>
          <w:p w14:paraId="3C2156BB" w14:textId="77777777" w:rsidR="005C3334" w:rsidRDefault="005C3334" w:rsidP="00712E2F">
            <w:pPr>
              <w:jc w:val="center"/>
              <w:rPr>
                <w:rFonts w:ascii="宋体" w:hAnsi="宋体" w:cs="宋体" w:hint="eastAsia"/>
                <w:sz w:val="18"/>
                <w:szCs w:val="15"/>
              </w:rPr>
            </w:pPr>
          </w:p>
        </w:tc>
        <w:tc>
          <w:tcPr>
            <w:tcW w:w="2599" w:type="dxa"/>
            <w:vAlign w:val="center"/>
          </w:tcPr>
          <w:p w14:paraId="6609141B" w14:textId="77777777" w:rsidR="005C3334" w:rsidRDefault="005C3334" w:rsidP="00712E2F">
            <w:pPr>
              <w:jc w:val="center"/>
              <w:rPr>
                <w:rFonts w:ascii="宋体" w:hAnsi="宋体" w:cs="宋体" w:hint="eastAsia"/>
                <w:sz w:val="18"/>
                <w:szCs w:val="15"/>
              </w:rPr>
            </w:pPr>
          </w:p>
        </w:tc>
        <w:tc>
          <w:tcPr>
            <w:tcW w:w="1813" w:type="dxa"/>
            <w:vAlign w:val="center"/>
          </w:tcPr>
          <w:p w14:paraId="0555374A" w14:textId="77777777" w:rsidR="005C3334" w:rsidRDefault="005C3334" w:rsidP="00712E2F">
            <w:pPr>
              <w:jc w:val="center"/>
              <w:rPr>
                <w:rFonts w:ascii="宋体" w:hAnsi="宋体" w:cs="宋体" w:hint="eastAsia"/>
                <w:sz w:val="18"/>
                <w:szCs w:val="15"/>
              </w:rPr>
            </w:pPr>
          </w:p>
        </w:tc>
        <w:tc>
          <w:tcPr>
            <w:tcW w:w="630" w:type="dxa"/>
            <w:vAlign w:val="center"/>
          </w:tcPr>
          <w:p w14:paraId="3136BF71" w14:textId="77777777" w:rsidR="005C3334" w:rsidRDefault="005C3334" w:rsidP="00712E2F">
            <w:pPr>
              <w:jc w:val="center"/>
              <w:rPr>
                <w:rFonts w:ascii="宋体" w:hAnsi="宋体" w:cs="宋体" w:hint="eastAsia"/>
                <w:sz w:val="18"/>
                <w:szCs w:val="15"/>
              </w:rPr>
            </w:pPr>
          </w:p>
        </w:tc>
      </w:tr>
    </w:tbl>
    <w:p w14:paraId="6D73C0BE" w14:textId="463080F6" w:rsidR="005C3334" w:rsidRDefault="005C3334" w:rsidP="00347FC3">
      <w:pPr>
        <w:pStyle w:val="aff2"/>
        <w:spacing w:before="120" w:after="120"/>
      </w:pPr>
      <w:r>
        <w:rPr>
          <w:rFonts w:hint="eastAsia"/>
        </w:rPr>
        <w:t>主要原辅材料一览表</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47"/>
        <w:gridCol w:w="1196"/>
        <w:gridCol w:w="1482"/>
        <w:gridCol w:w="1482"/>
        <w:gridCol w:w="1267"/>
        <w:gridCol w:w="1267"/>
        <w:gridCol w:w="1055"/>
      </w:tblGrid>
      <w:tr w:rsidR="005C3334" w14:paraId="455D4295" w14:textId="77777777" w:rsidTr="00712E2F">
        <w:trPr>
          <w:cantSplit/>
          <w:trHeight w:val="454"/>
          <w:jc w:val="center"/>
        </w:trPr>
        <w:tc>
          <w:tcPr>
            <w:tcW w:w="675" w:type="dxa"/>
            <w:vAlign w:val="center"/>
          </w:tcPr>
          <w:p w14:paraId="0CB63662"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hint="eastAsia"/>
                <w:sz w:val="18"/>
                <w:szCs w:val="15"/>
              </w:rPr>
              <w:t>序号</w:t>
            </w:r>
          </w:p>
        </w:tc>
        <w:tc>
          <w:tcPr>
            <w:tcW w:w="1147" w:type="dxa"/>
            <w:vAlign w:val="center"/>
          </w:tcPr>
          <w:p w14:paraId="4550FCBB"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hint="eastAsia"/>
                <w:sz w:val="18"/>
                <w:szCs w:val="15"/>
              </w:rPr>
              <w:t>物料名称</w:t>
            </w:r>
          </w:p>
        </w:tc>
        <w:tc>
          <w:tcPr>
            <w:tcW w:w="1196" w:type="dxa"/>
            <w:vAlign w:val="center"/>
          </w:tcPr>
          <w:p w14:paraId="4EFC7570"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hint="eastAsia"/>
                <w:sz w:val="18"/>
                <w:szCs w:val="15"/>
              </w:rPr>
              <w:t>储存量</w:t>
            </w:r>
          </w:p>
        </w:tc>
        <w:tc>
          <w:tcPr>
            <w:tcW w:w="1482" w:type="dxa"/>
            <w:vAlign w:val="center"/>
          </w:tcPr>
          <w:p w14:paraId="46322BEB"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hint="eastAsia"/>
                <w:sz w:val="18"/>
                <w:szCs w:val="15"/>
              </w:rPr>
              <w:t>储存场所</w:t>
            </w:r>
          </w:p>
        </w:tc>
        <w:tc>
          <w:tcPr>
            <w:tcW w:w="1482" w:type="dxa"/>
            <w:vAlign w:val="center"/>
          </w:tcPr>
          <w:p w14:paraId="0DCBB53C"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sz w:val="18"/>
                <w:szCs w:val="15"/>
              </w:rPr>
              <w:t>年消耗量</w:t>
            </w:r>
          </w:p>
        </w:tc>
        <w:tc>
          <w:tcPr>
            <w:tcW w:w="1267" w:type="dxa"/>
            <w:vAlign w:val="center"/>
          </w:tcPr>
          <w:p w14:paraId="5AF4709F"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hint="eastAsia"/>
                <w:sz w:val="18"/>
                <w:szCs w:val="15"/>
              </w:rPr>
              <w:t>C</w:t>
            </w:r>
            <w:r w:rsidRPr="00E33D47">
              <w:rPr>
                <w:rFonts w:ascii="黑体" w:eastAsia="黑体" w:hAnsi="黑体"/>
                <w:sz w:val="18"/>
                <w:szCs w:val="15"/>
              </w:rPr>
              <w:t>N编号</w:t>
            </w:r>
          </w:p>
        </w:tc>
        <w:tc>
          <w:tcPr>
            <w:tcW w:w="1267" w:type="dxa"/>
            <w:vAlign w:val="center"/>
          </w:tcPr>
          <w:p w14:paraId="6E917BF2" w14:textId="77777777" w:rsidR="005C3334" w:rsidRPr="00E33D47" w:rsidRDefault="005C3334" w:rsidP="00712E2F">
            <w:pPr>
              <w:jc w:val="center"/>
              <w:rPr>
                <w:rFonts w:ascii="黑体" w:eastAsia="黑体" w:hAnsi="黑体" w:hint="eastAsia"/>
                <w:sz w:val="18"/>
                <w:szCs w:val="15"/>
              </w:rPr>
            </w:pPr>
            <w:r w:rsidRPr="00E33D47">
              <w:rPr>
                <w:rFonts w:ascii="黑体" w:eastAsia="黑体" w:hAnsi="黑体"/>
                <w:sz w:val="18"/>
                <w:szCs w:val="15"/>
              </w:rPr>
              <w:t>UN编号</w:t>
            </w:r>
          </w:p>
        </w:tc>
        <w:tc>
          <w:tcPr>
            <w:tcW w:w="1055" w:type="dxa"/>
            <w:vAlign w:val="center"/>
          </w:tcPr>
          <w:p w14:paraId="5E4CDA3D" w14:textId="77777777" w:rsidR="005C3334" w:rsidRPr="00E33D47" w:rsidRDefault="005C3334" w:rsidP="00712E2F">
            <w:pPr>
              <w:jc w:val="center"/>
              <w:rPr>
                <w:rFonts w:ascii="黑体" w:eastAsia="黑体" w:hAnsi="黑体" w:hint="eastAsia"/>
                <w:sz w:val="18"/>
                <w:szCs w:val="15"/>
              </w:rPr>
            </w:pPr>
            <w:proofErr w:type="gramStart"/>
            <w:r w:rsidRPr="00E33D47">
              <w:rPr>
                <w:rFonts w:ascii="黑体" w:eastAsia="黑体" w:hAnsi="黑体"/>
                <w:sz w:val="18"/>
                <w:szCs w:val="15"/>
              </w:rPr>
              <w:t>备 注</w:t>
            </w:r>
            <w:proofErr w:type="gramEnd"/>
          </w:p>
        </w:tc>
      </w:tr>
      <w:tr w:rsidR="005C3334" w14:paraId="2E0CDA94" w14:textId="77777777" w:rsidTr="00712E2F">
        <w:trPr>
          <w:cantSplit/>
          <w:trHeight w:val="454"/>
          <w:jc w:val="center"/>
        </w:trPr>
        <w:tc>
          <w:tcPr>
            <w:tcW w:w="675" w:type="dxa"/>
            <w:vAlign w:val="center"/>
          </w:tcPr>
          <w:p w14:paraId="25D0219A" w14:textId="77777777" w:rsidR="005C3334" w:rsidRDefault="005C3334" w:rsidP="00712E2F">
            <w:pPr>
              <w:jc w:val="center"/>
              <w:rPr>
                <w:rFonts w:ascii="宋体" w:hAnsi="宋体" w:hint="eastAsia"/>
                <w:sz w:val="18"/>
                <w:szCs w:val="15"/>
              </w:rPr>
            </w:pPr>
          </w:p>
        </w:tc>
        <w:tc>
          <w:tcPr>
            <w:tcW w:w="1147" w:type="dxa"/>
            <w:vAlign w:val="center"/>
          </w:tcPr>
          <w:p w14:paraId="3CA5D1C2" w14:textId="77777777" w:rsidR="005C3334" w:rsidRDefault="005C3334" w:rsidP="00712E2F">
            <w:pPr>
              <w:jc w:val="center"/>
              <w:rPr>
                <w:rFonts w:ascii="宋体" w:hAnsi="宋体" w:hint="eastAsia"/>
                <w:sz w:val="18"/>
                <w:szCs w:val="15"/>
              </w:rPr>
            </w:pPr>
          </w:p>
        </w:tc>
        <w:tc>
          <w:tcPr>
            <w:tcW w:w="1196" w:type="dxa"/>
            <w:vAlign w:val="center"/>
          </w:tcPr>
          <w:p w14:paraId="406CDDE3" w14:textId="77777777" w:rsidR="005C3334" w:rsidRDefault="005C3334" w:rsidP="00712E2F">
            <w:pPr>
              <w:jc w:val="center"/>
              <w:rPr>
                <w:rFonts w:ascii="宋体" w:hAnsi="宋体" w:hint="eastAsia"/>
                <w:sz w:val="18"/>
                <w:szCs w:val="15"/>
              </w:rPr>
            </w:pPr>
          </w:p>
        </w:tc>
        <w:tc>
          <w:tcPr>
            <w:tcW w:w="1482" w:type="dxa"/>
            <w:vAlign w:val="center"/>
          </w:tcPr>
          <w:p w14:paraId="2B892236" w14:textId="77777777" w:rsidR="005C3334" w:rsidRDefault="005C3334" w:rsidP="00712E2F">
            <w:pPr>
              <w:jc w:val="center"/>
              <w:rPr>
                <w:rFonts w:ascii="宋体" w:hAnsi="宋体" w:hint="eastAsia"/>
                <w:sz w:val="18"/>
                <w:szCs w:val="15"/>
              </w:rPr>
            </w:pPr>
          </w:p>
        </w:tc>
        <w:tc>
          <w:tcPr>
            <w:tcW w:w="1482" w:type="dxa"/>
            <w:vAlign w:val="center"/>
          </w:tcPr>
          <w:p w14:paraId="46F235CD" w14:textId="77777777" w:rsidR="005C3334" w:rsidRDefault="005C3334" w:rsidP="00712E2F">
            <w:pPr>
              <w:jc w:val="center"/>
              <w:rPr>
                <w:rFonts w:ascii="宋体" w:hAnsi="宋体" w:hint="eastAsia"/>
                <w:sz w:val="18"/>
                <w:szCs w:val="15"/>
              </w:rPr>
            </w:pPr>
          </w:p>
        </w:tc>
        <w:tc>
          <w:tcPr>
            <w:tcW w:w="1267" w:type="dxa"/>
            <w:vAlign w:val="center"/>
          </w:tcPr>
          <w:p w14:paraId="5506DE8D" w14:textId="77777777" w:rsidR="005C3334" w:rsidRDefault="005C3334" w:rsidP="00712E2F">
            <w:pPr>
              <w:jc w:val="center"/>
              <w:rPr>
                <w:rFonts w:ascii="宋体" w:hAnsi="宋体" w:hint="eastAsia"/>
                <w:sz w:val="18"/>
                <w:szCs w:val="15"/>
              </w:rPr>
            </w:pPr>
          </w:p>
        </w:tc>
        <w:tc>
          <w:tcPr>
            <w:tcW w:w="1267" w:type="dxa"/>
            <w:vAlign w:val="center"/>
          </w:tcPr>
          <w:p w14:paraId="0394A257" w14:textId="77777777" w:rsidR="005C3334" w:rsidRDefault="005C3334" w:rsidP="00712E2F">
            <w:pPr>
              <w:jc w:val="center"/>
              <w:rPr>
                <w:rFonts w:ascii="宋体" w:hAnsi="宋体" w:hint="eastAsia"/>
                <w:sz w:val="18"/>
                <w:szCs w:val="15"/>
              </w:rPr>
            </w:pPr>
          </w:p>
        </w:tc>
        <w:tc>
          <w:tcPr>
            <w:tcW w:w="1055" w:type="dxa"/>
            <w:vAlign w:val="center"/>
          </w:tcPr>
          <w:p w14:paraId="78249248" w14:textId="77777777" w:rsidR="005C3334" w:rsidRDefault="005C3334" w:rsidP="00712E2F">
            <w:pPr>
              <w:jc w:val="center"/>
              <w:rPr>
                <w:rFonts w:ascii="宋体" w:hAnsi="宋体" w:hint="eastAsia"/>
                <w:sz w:val="18"/>
                <w:szCs w:val="15"/>
              </w:rPr>
            </w:pPr>
          </w:p>
        </w:tc>
      </w:tr>
    </w:tbl>
    <w:p w14:paraId="3E2A3483" w14:textId="37B74812" w:rsidR="005C3334" w:rsidRDefault="005C3334" w:rsidP="00872B90">
      <w:pPr>
        <w:pStyle w:val="af5"/>
        <w:numPr>
          <w:ilvl w:val="0"/>
          <w:numId w:val="36"/>
        </w:numPr>
      </w:pPr>
      <w:r>
        <w:rPr>
          <w:rFonts w:hint="eastAsia"/>
        </w:rPr>
        <w:t>企业公用工程及辅助设施，包括安全设施；</w:t>
      </w:r>
    </w:p>
    <w:p w14:paraId="742D49C6" w14:textId="0F8CABA1" w:rsidR="005C3334" w:rsidRDefault="005C3334" w:rsidP="00872B90">
      <w:pPr>
        <w:pStyle w:val="af6"/>
        <w:numPr>
          <w:ilvl w:val="1"/>
          <w:numId w:val="37"/>
        </w:numPr>
      </w:pPr>
      <w:r>
        <w:rPr>
          <w:rFonts w:hint="eastAsia"/>
        </w:rPr>
        <w:t>自控</w:t>
      </w:r>
    </w:p>
    <w:p w14:paraId="08741603" w14:textId="77777777" w:rsidR="005C3334" w:rsidRDefault="005C3334" w:rsidP="00347FC3">
      <w:pPr>
        <w:pStyle w:val="af6"/>
        <w:numPr>
          <w:ilvl w:val="0"/>
          <w:numId w:val="0"/>
        </w:numPr>
        <w:ind w:left="1276"/>
      </w:pPr>
      <w:r>
        <w:rPr>
          <w:rFonts w:hint="eastAsia"/>
        </w:rPr>
        <w:t>应说明自控系统设置情况：数据采集与监视控制系统（S</w:t>
      </w:r>
      <w:r>
        <w:t>CADA</w:t>
      </w:r>
      <w:r>
        <w:rPr>
          <w:rFonts w:hint="eastAsia"/>
        </w:rPr>
        <w:t>）、基本过程控制系统（B</w:t>
      </w:r>
      <w:r>
        <w:t>PCS</w:t>
      </w:r>
      <w:r>
        <w:rPr>
          <w:rFonts w:hint="eastAsia"/>
        </w:rPr>
        <w:t>）、可燃（有毒）气体检测系统（GDS）。</w:t>
      </w:r>
    </w:p>
    <w:p w14:paraId="687D25EA" w14:textId="63DF75B1" w:rsidR="005C3334" w:rsidRDefault="005C3334" w:rsidP="00347FC3">
      <w:pPr>
        <w:pStyle w:val="af6"/>
      </w:pPr>
      <w:r>
        <w:rPr>
          <w:rFonts w:hint="eastAsia"/>
        </w:rPr>
        <w:t>供配电</w:t>
      </w:r>
    </w:p>
    <w:p w14:paraId="24245E06" w14:textId="77777777" w:rsidR="005C3334" w:rsidRDefault="005C3334" w:rsidP="00347FC3">
      <w:pPr>
        <w:pStyle w:val="af6"/>
        <w:numPr>
          <w:ilvl w:val="0"/>
          <w:numId w:val="0"/>
        </w:numPr>
        <w:ind w:left="1276"/>
      </w:pPr>
      <w:r>
        <w:rPr>
          <w:rFonts w:hint="eastAsia"/>
        </w:rPr>
        <w:t>应说明供电系统配置情况（电压等级、负荷等级、负荷系数等），厂区爆炸危险区域划分和相关电气设备、电力电缆采取的防火、防爆措施；各建构筑物防雷、防静电保护措施；主要电气设备统计。</w:t>
      </w:r>
    </w:p>
    <w:p w14:paraId="2237C1C1" w14:textId="6A666B97" w:rsidR="005C3334" w:rsidRDefault="005C3334" w:rsidP="00347FC3">
      <w:pPr>
        <w:pStyle w:val="af6"/>
      </w:pPr>
      <w:r>
        <w:rPr>
          <w:rFonts w:hint="eastAsia"/>
        </w:rPr>
        <w:t>给排水</w:t>
      </w:r>
    </w:p>
    <w:p w14:paraId="5010DE15" w14:textId="77777777" w:rsidR="005C3334" w:rsidRDefault="005C3334" w:rsidP="00347FC3">
      <w:pPr>
        <w:pStyle w:val="af6"/>
        <w:numPr>
          <w:ilvl w:val="0"/>
          <w:numId w:val="0"/>
        </w:numPr>
        <w:ind w:left="1276"/>
      </w:pPr>
      <w:r>
        <w:rPr>
          <w:rFonts w:hint="eastAsia"/>
        </w:rPr>
        <w:t>应说明生产生活用水来源；消防用水供水量、供水水压；生产生活污水排污途径。</w:t>
      </w:r>
    </w:p>
    <w:p w14:paraId="3224A4B8" w14:textId="00B17CF7" w:rsidR="005C3334" w:rsidRDefault="005C3334" w:rsidP="00347FC3">
      <w:pPr>
        <w:pStyle w:val="af6"/>
      </w:pPr>
      <w:r>
        <w:rPr>
          <w:rFonts w:hint="eastAsia"/>
        </w:rPr>
        <w:t>防腐及保温</w:t>
      </w:r>
    </w:p>
    <w:p w14:paraId="42CFFF8F" w14:textId="77777777" w:rsidR="005C3334" w:rsidRDefault="005C3334" w:rsidP="00347FC3">
      <w:pPr>
        <w:pStyle w:val="af6"/>
        <w:numPr>
          <w:ilvl w:val="0"/>
          <w:numId w:val="0"/>
        </w:numPr>
        <w:ind w:left="1276"/>
      </w:pPr>
      <w:r>
        <w:rPr>
          <w:rFonts w:hint="eastAsia"/>
        </w:rPr>
        <w:t>应说明管材、库房的防腐保温材料材质情况。</w:t>
      </w:r>
    </w:p>
    <w:p w14:paraId="408BED30" w14:textId="498B235C" w:rsidR="005C3334" w:rsidRDefault="005C3334" w:rsidP="00347FC3">
      <w:pPr>
        <w:pStyle w:val="af6"/>
      </w:pPr>
      <w:r>
        <w:rPr>
          <w:rFonts w:hint="eastAsia"/>
        </w:rPr>
        <w:t>安全设施</w:t>
      </w:r>
    </w:p>
    <w:p w14:paraId="531714EA" w14:textId="0FAD11C9" w:rsidR="005C3334" w:rsidRDefault="005C3334" w:rsidP="00347FC3">
      <w:pPr>
        <w:pStyle w:val="af5"/>
      </w:pPr>
      <w:r>
        <w:rPr>
          <w:rFonts w:hint="eastAsia"/>
        </w:rPr>
        <w:t>企业安全管理组织及安全管理状况等。</w:t>
      </w:r>
    </w:p>
    <w:p w14:paraId="378A43FA"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应包括企业安全管理组织机构，主要安全管理制度、操作规程，应急救援预案及备案情况，从业人员取证情况等内容。</w:t>
      </w:r>
    </w:p>
    <w:p w14:paraId="4E5EA809" w14:textId="4C384A31" w:rsidR="005C3334" w:rsidRDefault="005C3334" w:rsidP="00347FC3">
      <w:pPr>
        <w:pStyle w:val="afffffffff1"/>
      </w:pPr>
      <w:r>
        <w:rPr>
          <w:rFonts w:hint="eastAsia"/>
        </w:rPr>
        <w:t>安全评价目的、范围、依据和程序，以及评价单元和风险点划分结果。</w:t>
      </w:r>
    </w:p>
    <w:p w14:paraId="20612F6C" w14:textId="18ECF0C8" w:rsidR="005C3334" w:rsidRDefault="005C3334" w:rsidP="007A04DE">
      <w:pPr>
        <w:pStyle w:val="afff"/>
        <w:spacing w:before="120" w:after="120"/>
      </w:pPr>
      <w:r>
        <w:rPr>
          <w:rFonts w:hint="eastAsia"/>
        </w:rPr>
        <w:t>评价单元划分原则</w:t>
      </w:r>
    </w:p>
    <w:p w14:paraId="4B650705" w14:textId="77777777" w:rsidR="005C3334" w:rsidRDefault="005C3334" w:rsidP="005C3334">
      <w:pPr>
        <w:spacing w:line="360" w:lineRule="auto"/>
        <w:rPr>
          <w:rFonts w:ascii="宋体" w:hAnsi="宋体" w:cs="宋体" w:hint="eastAsia"/>
          <w:bCs/>
        </w:rPr>
      </w:pPr>
      <w:r>
        <w:rPr>
          <w:rFonts w:ascii="宋体" w:hAnsi="宋体" w:cs="宋体" w:hint="eastAsia"/>
          <w:bCs/>
        </w:rPr>
        <w:t xml:space="preserve">    当被评价企业工艺与设备设施、公用工程与辅助设施内容较多时，可以在规范正文第5.2.2条安全评价单元划分基础上，根据不同功能分区，再划分子单元。</w:t>
      </w:r>
    </w:p>
    <w:p w14:paraId="7DCB1AE9" w14:textId="60A8A8F5" w:rsidR="005C3334" w:rsidRDefault="005C3334" w:rsidP="007A04DE">
      <w:pPr>
        <w:pStyle w:val="afff"/>
        <w:spacing w:before="120" w:after="120"/>
      </w:pPr>
      <w:r>
        <w:rPr>
          <w:rFonts w:hint="eastAsia"/>
        </w:rPr>
        <w:t>风险点划分原则</w:t>
      </w:r>
    </w:p>
    <w:p w14:paraId="73D46383" w14:textId="76D32A97" w:rsidR="005C3334" w:rsidRDefault="005C3334" w:rsidP="007A04DE">
      <w:pPr>
        <w:pStyle w:val="afffffffff3"/>
        <w:rPr>
          <w:rFonts w:hint="eastAsia"/>
        </w:rPr>
      </w:pPr>
      <w:r>
        <w:rPr>
          <w:rFonts w:hint="eastAsia"/>
        </w:rPr>
        <w:t>相对独立的设备设施，可按“设备设施”划分风险点，如贮氨器、制冷压缩机组、快速冻结装置等。</w:t>
      </w:r>
    </w:p>
    <w:p w14:paraId="35FA96FF" w14:textId="6B7E5988" w:rsidR="005C3334" w:rsidRDefault="005C3334" w:rsidP="007A04DE">
      <w:pPr>
        <w:pStyle w:val="afffffffff3"/>
        <w:rPr>
          <w:rFonts w:hint="eastAsia"/>
        </w:rPr>
      </w:pPr>
      <w:r>
        <w:rPr>
          <w:rFonts w:hint="eastAsia"/>
        </w:rPr>
        <w:t>涉及人员作业的，可按“作业活动”划分风险点，如冷库库房内入库作业、加工车间内包装作业等。</w:t>
      </w:r>
    </w:p>
    <w:p w14:paraId="697F7898" w14:textId="5CC3D027" w:rsidR="005C3334" w:rsidRDefault="005C3334" w:rsidP="007A04DE">
      <w:pPr>
        <w:pStyle w:val="afffffffff3"/>
        <w:rPr>
          <w:rFonts w:hint="eastAsia"/>
        </w:rPr>
      </w:pPr>
      <w:r>
        <w:rPr>
          <w:rFonts w:hint="eastAsia"/>
        </w:rPr>
        <w:t>相对独立的评价单元，可单独作为风险点。</w:t>
      </w:r>
    </w:p>
    <w:p w14:paraId="5A4255C1" w14:textId="6BC77D86" w:rsidR="005C3334" w:rsidRDefault="005C3334" w:rsidP="007A04DE">
      <w:pPr>
        <w:pStyle w:val="afffffffff3"/>
        <w:rPr>
          <w:rFonts w:hint="eastAsia"/>
        </w:rPr>
      </w:pPr>
      <w:r>
        <w:rPr>
          <w:rFonts w:hint="eastAsia"/>
        </w:rPr>
        <w:t>可以在风险点下，根据评价需要，划分作业步骤或设备；作业步骤应为与工作目的直接相</w:t>
      </w:r>
      <w:r>
        <w:rPr>
          <w:rFonts w:hint="eastAsia"/>
        </w:rPr>
        <w:lastRenderedPageBreak/>
        <w:t>关，且具有安全风险的活动，而非安全措施，以“动词+名词”方式描述；设备应为具有安全风险的独立功能单元，而非设备配件或安全设施。</w:t>
      </w:r>
    </w:p>
    <w:p w14:paraId="3DE0B497" w14:textId="77777777" w:rsidR="005C3334" w:rsidRDefault="005C3334" w:rsidP="005C3334">
      <w:pPr>
        <w:spacing w:line="360" w:lineRule="auto"/>
        <w:ind w:firstLineChars="200" w:firstLine="420"/>
        <w:rPr>
          <w:rFonts w:ascii="宋体" w:hAnsi="宋体" w:cs="宋体" w:hint="eastAsia"/>
          <w:bCs/>
        </w:rPr>
      </w:pPr>
      <w:r>
        <w:rPr>
          <w:rFonts w:ascii="宋体" w:hAnsi="宋体" w:cs="宋体" w:hint="eastAsia"/>
          <w:bCs/>
        </w:rPr>
        <w:t>风险点划分样</w:t>
      </w:r>
      <w:r w:rsidRPr="00E33D47">
        <w:rPr>
          <w:rFonts w:ascii="Times New Roman" w:hAnsi="Times New Roman"/>
          <w:bCs/>
        </w:rPr>
        <w:t>例见表</w:t>
      </w:r>
      <w:r w:rsidRPr="00E33D47">
        <w:rPr>
          <w:rFonts w:ascii="Times New Roman" w:hAnsi="Times New Roman"/>
          <w:bCs/>
        </w:rPr>
        <w:t>7</w:t>
      </w:r>
      <w:r w:rsidRPr="00E33D47">
        <w:rPr>
          <w:rFonts w:ascii="Times New Roman" w:hAnsi="Times New Roman"/>
          <w:bCs/>
        </w:rPr>
        <w:t>。</w:t>
      </w:r>
    </w:p>
    <w:p w14:paraId="707CD8C6" w14:textId="7A34FFE3" w:rsidR="005C3334" w:rsidRDefault="005C3334" w:rsidP="007A04DE">
      <w:pPr>
        <w:pStyle w:val="aff2"/>
        <w:spacing w:before="120" w:after="120"/>
      </w:pPr>
      <w:r>
        <w:rPr>
          <w:rFonts w:hint="eastAsia"/>
        </w:rPr>
        <w:t>风险点划分样例：</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993"/>
        <w:gridCol w:w="1965"/>
        <w:gridCol w:w="2640"/>
        <w:gridCol w:w="1757"/>
      </w:tblGrid>
      <w:tr w:rsidR="005C3334" w14:paraId="090785E8" w14:textId="77777777" w:rsidTr="00712E2F">
        <w:trPr>
          <w:jc w:val="center"/>
        </w:trPr>
        <w:tc>
          <w:tcPr>
            <w:tcW w:w="946" w:type="dxa"/>
          </w:tcPr>
          <w:p w14:paraId="00950E8F" w14:textId="77777777" w:rsidR="005C3334" w:rsidRDefault="005C3334" w:rsidP="00712E2F">
            <w:pPr>
              <w:jc w:val="center"/>
              <w:rPr>
                <w:rFonts w:ascii="宋体" w:hAnsi="宋体" w:cs="宋体" w:hint="eastAsia"/>
                <w:bCs/>
              </w:rPr>
            </w:pPr>
            <w:r>
              <w:rPr>
                <w:rFonts w:ascii="宋体" w:hAnsi="宋体" w:cs="宋体" w:hint="eastAsia"/>
                <w:bCs/>
              </w:rPr>
              <w:t>序号</w:t>
            </w:r>
          </w:p>
        </w:tc>
        <w:tc>
          <w:tcPr>
            <w:tcW w:w="1993" w:type="dxa"/>
          </w:tcPr>
          <w:p w14:paraId="715C2357" w14:textId="77777777" w:rsidR="005C3334" w:rsidRDefault="005C3334" w:rsidP="00712E2F">
            <w:pPr>
              <w:jc w:val="center"/>
              <w:rPr>
                <w:rFonts w:ascii="宋体" w:hAnsi="宋体" w:cs="宋体" w:hint="eastAsia"/>
                <w:bCs/>
              </w:rPr>
            </w:pPr>
            <w:r>
              <w:rPr>
                <w:rFonts w:ascii="宋体" w:hAnsi="宋体" w:cs="宋体" w:hint="eastAsia"/>
                <w:bCs/>
              </w:rPr>
              <w:t>评价单元</w:t>
            </w:r>
          </w:p>
        </w:tc>
        <w:tc>
          <w:tcPr>
            <w:tcW w:w="1965" w:type="dxa"/>
          </w:tcPr>
          <w:p w14:paraId="76C4C4ED" w14:textId="77777777" w:rsidR="005C3334" w:rsidRDefault="005C3334" w:rsidP="00712E2F">
            <w:pPr>
              <w:jc w:val="center"/>
              <w:rPr>
                <w:rFonts w:ascii="宋体" w:hAnsi="宋体" w:cs="宋体" w:hint="eastAsia"/>
                <w:bCs/>
              </w:rPr>
            </w:pPr>
            <w:r>
              <w:rPr>
                <w:rFonts w:ascii="宋体" w:hAnsi="宋体" w:cs="宋体" w:hint="eastAsia"/>
                <w:bCs/>
              </w:rPr>
              <w:t>风险点</w:t>
            </w:r>
          </w:p>
        </w:tc>
        <w:tc>
          <w:tcPr>
            <w:tcW w:w="2640" w:type="dxa"/>
          </w:tcPr>
          <w:p w14:paraId="75C3BB4B" w14:textId="77777777" w:rsidR="005C3334" w:rsidRDefault="005C3334" w:rsidP="00712E2F">
            <w:pPr>
              <w:jc w:val="center"/>
              <w:rPr>
                <w:rFonts w:ascii="宋体" w:hAnsi="宋体" w:cs="宋体" w:hint="eastAsia"/>
                <w:bCs/>
              </w:rPr>
            </w:pPr>
            <w:r>
              <w:rPr>
                <w:rFonts w:ascii="宋体" w:hAnsi="宋体" w:cs="宋体" w:hint="eastAsia"/>
                <w:bCs/>
              </w:rPr>
              <w:t>作业步骤</w:t>
            </w:r>
          </w:p>
        </w:tc>
        <w:tc>
          <w:tcPr>
            <w:tcW w:w="1757" w:type="dxa"/>
          </w:tcPr>
          <w:p w14:paraId="70F52E8B" w14:textId="77777777" w:rsidR="005C3334" w:rsidRDefault="005C3334" w:rsidP="00712E2F">
            <w:pPr>
              <w:jc w:val="center"/>
              <w:rPr>
                <w:rFonts w:ascii="宋体" w:hAnsi="宋体" w:cs="宋体" w:hint="eastAsia"/>
                <w:bCs/>
              </w:rPr>
            </w:pPr>
            <w:r>
              <w:rPr>
                <w:rFonts w:ascii="宋体" w:hAnsi="宋体" w:cs="宋体" w:hint="eastAsia"/>
                <w:bCs/>
              </w:rPr>
              <w:t>备注</w:t>
            </w:r>
          </w:p>
        </w:tc>
      </w:tr>
      <w:tr w:rsidR="005C3334" w14:paraId="4C8B8605" w14:textId="77777777" w:rsidTr="00712E2F">
        <w:trPr>
          <w:jc w:val="center"/>
        </w:trPr>
        <w:tc>
          <w:tcPr>
            <w:tcW w:w="946" w:type="dxa"/>
          </w:tcPr>
          <w:p w14:paraId="00A8CF0E" w14:textId="77777777" w:rsidR="005C3334" w:rsidRPr="00E33D47" w:rsidRDefault="005C3334" w:rsidP="00712E2F">
            <w:pPr>
              <w:jc w:val="center"/>
              <w:rPr>
                <w:rFonts w:ascii="Times New Roman" w:hAnsi="Times New Roman"/>
                <w:bCs/>
              </w:rPr>
            </w:pPr>
            <w:r w:rsidRPr="00E33D47">
              <w:rPr>
                <w:rFonts w:ascii="Times New Roman" w:hAnsi="Times New Roman"/>
                <w:bCs/>
              </w:rPr>
              <w:t>1</w:t>
            </w:r>
          </w:p>
        </w:tc>
        <w:tc>
          <w:tcPr>
            <w:tcW w:w="1993" w:type="dxa"/>
            <w:vMerge w:val="restart"/>
            <w:vAlign w:val="center"/>
          </w:tcPr>
          <w:p w14:paraId="671C0148" w14:textId="77777777" w:rsidR="005C3334" w:rsidRDefault="005C3334" w:rsidP="00712E2F">
            <w:pPr>
              <w:rPr>
                <w:rFonts w:ascii="宋体" w:hAnsi="宋体" w:cs="宋体" w:hint="eastAsia"/>
                <w:bCs/>
              </w:rPr>
            </w:pPr>
            <w:r>
              <w:rPr>
                <w:rFonts w:ascii="宋体" w:hAnsi="宋体" w:cs="宋体" w:hint="eastAsia"/>
                <w:bCs/>
              </w:rPr>
              <w:t>制冷车间</w:t>
            </w:r>
          </w:p>
        </w:tc>
        <w:tc>
          <w:tcPr>
            <w:tcW w:w="1965" w:type="dxa"/>
            <w:vMerge w:val="restart"/>
            <w:vAlign w:val="center"/>
          </w:tcPr>
          <w:p w14:paraId="386A2603" w14:textId="77777777" w:rsidR="005C3334" w:rsidRDefault="005C3334" w:rsidP="00712E2F">
            <w:pPr>
              <w:rPr>
                <w:rFonts w:ascii="宋体" w:hAnsi="宋体" w:cs="宋体" w:hint="eastAsia"/>
                <w:bCs/>
              </w:rPr>
            </w:pPr>
            <w:r>
              <w:rPr>
                <w:rFonts w:ascii="宋体" w:hAnsi="宋体" w:cs="宋体" w:hint="eastAsia"/>
                <w:bCs/>
              </w:rPr>
              <w:t>贮氨器</w:t>
            </w:r>
          </w:p>
        </w:tc>
        <w:tc>
          <w:tcPr>
            <w:tcW w:w="2640" w:type="dxa"/>
          </w:tcPr>
          <w:p w14:paraId="5B4113E2" w14:textId="77777777" w:rsidR="005C3334" w:rsidRDefault="005C3334" w:rsidP="00712E2F">
            <w:pPr>
              <w:rPr>
                <w:rFonts w:ascii="宋体" w:hAnsi="宋体" w:cs="宋体" w:hint="eastAsia"/>
                <w:bCs/>
              </w:rPr>
            </w:pPr>
            <w:r>
              <w:rPr>
                <w:rFonts w:ascii="宋体" w:hAnsi="宋体" w:cs="宋体" w:hint="eastAsia"/>
                <w:bCs/>
              </w:rPr>
              <w:t>/（不再划分）</w:t>
            </w:r>
          </w:p>
        </w:tc>
        <w:tc>
          <w:tcPr>
            <w:tcW w:w="1757" w:type="dxa"/>
            <w:vAlign w:val="center"/>
          </w:tcPr>
          <w:p w14:paraId="6AA4BA4A" w14:textId="77777777" w:rsidR="005C3334" w:rsidRDefault="005C3334" w:rsidP="00712E2F">
            <w:pPr>
              <w:rPr>
                <w:rFonts w:ascii="宋体" w:hAnsi="宋体" w:cs="宋体" w:hint="eastAsia"/>
                <w:bCs/>
              </w:rPr>
            </w:pPr>
          </w:p>
        </w:tc>
      </w:tr>
      <w:tr w:rsidR="005C3334" w14:paraId="7D572341" w14:textId="77777777" w:rsidTr="00712E2F">
        <w:trPr>
          <w:jc w:val="center"/>
        </w:trPr>
        <w:tc>
          <w:tcPr>
            <w:tcW w:w="946" w:type="dxa"/>
          </w:tcPr>
          <w:p w14:paraId="1FA13F31" w14:textId="77777777" w:rsidR="005C3334" w:rsidRPr="00E33D47" w:rsidRDefault="005C3334" w:rsidP="00712E2F">
            <w:pPr>
              <w:jc w:val="center"/>
              <w:rPr>
                <w:rFonts w:ascii="Times New Roman" w:hAnsi="Times New Roman"/>
                <w:bCs/>
              </w:rPr>
            </w:pPr>
            <w:r w:rsidRPr="00E33D47">
              <w:rPr>
                <w:rFonts w:ascii="Times New Roman" w:hAnsi="Times New Roman"/>
                <w:bCs/>
              </w:rPr>
              <w:t>2</w:t>
            </w:r>
          </w:p>
        </w:tc>
        <w:tc>
          <w:tcPr>
            <w:tcW w:w="1993" w:type="dxa"/>
            <w:vMerge/>
            <w:vAlign w:val="center"/>
          </w:tcPr>
          <w:p w14:paraId="0801F852" w14:textId="77777777" w:rsidR="005C3334" w:rsidRDefault="005C3334" w:rsidP="00712E2F">
            <w:pPr>
              <w:rPr>
                <w:rFonts w:ascii="宋体" w:hAnsi="宋体" w:cs="宋体" w:hint="eastAsia"/>
                <w:bCs/>
              </w:rPr>
            </w:pPr>
          </w:p>
        </w:tc>
        <w:tc>
          <w:tcPr>
            <w:tcW w:w="1965" w:type="dxa"/>
            <w:vMerge/>
          </w:tcPr>
          <w:p w14:paraId="4EA01A22" w14:textId="77777777" w:rsidR="005C3334" w:rsidRDefault="005C3334" w:rsidP="00712E2F">
            <w:pPr>
              <w:rPr>
                <w:rFonts w:ascii="宋体" w:hAnsi="宋体" w:cs="宋体" w:hint="eastAsia"/>
                <w:bCs/>
              </w:rPr>
            </w:pPr>
          </w:p>
        </w:tc>
        <w:tc>
          <w:tcPr>
            <w:tcW w:w="2640" w:type="dxa"/>
          </w:tcPr>
          <w:p w14:paraId="6F177AF7" w14:textId="77777777" w:rsidR="005C3334" w:rsidRDefault="005C3334" w:rsidP="00712E2F">
            <w:pPr>
              <w:rPr>
                <w:rFonts w:ascii="宋体" w:hAnsi="宋体" w:cs="宋体" w:hint="eastAsia"/>
                <w:bCs/>
              </w:rPr>
            </w:pPr>
            <w:r>
              <w:rPr>
                <w:rFonts w:ascii="宋体" w:hAnsi="宋体" w:cs="宋体" w:hint="eastAsia"/>
                <w:bCs/>
              </w:rPr>
              <w:t>/</w:t>
            </w:r>
          </w:p>
        </w:tc>
        <w:tc>
          <w:tcPr>
            <w:tcW w:w="1757" w:type="dxa"/>
            <w:vAlign w:val="center"/>
          </w:tcPr>
          <w:p w14:paraId="72D55628" w14:textId="77777777" w:rsidR="005C3334" w:rsidRDefault="005C3334" w:rsidP="00712E2F">
            <w:pPr>
              <w:rPr>
                <w:rFonts w:ascii="宋体" w:hAnsi="宋体" w:cs="宋体" w:hint="eastAsia"/>
                <w:bCs/>
              </w:rPr>
            </w:pPr>
          </w:p>
        </w:tc>
      </w:tr>
      <w:tr w:rsidR="005C3334" w14:paraId="7FD49C5D" w14:textId="77777777" w:rsidTr="00712E2F">
        <w:trPr>
          <w:jc w:val="center"/>
        </w:trPr>
        <w:tc>
          <w:tcPr>
            <w:tcW w:w="946" w:type="dxa"/>
          </w:tcPr>
          <w:p w14:paraId="12F07604" w14:textId="77777777" w:rsidR="005C3334" w:rsidRPr="00E33D47" w:rsidRDefault="005C3334" w:rsidP="00712E2F">
            <w:pPr>
              <w:jc w:val="center"/>
              <w:rPr>
                <w:rFonts w:ascii="Times New Roman" w:hAnsi="Times New Roman"/>
                <w:bCs/>
              </w:rPr>
            </w:pPr>
            <w:r w:rsidRPr="00E33D47">
              <w:rPr>
                <w:rFonts w:ascii="Times New Roman" w:hAnsi="Times New Roman"/>
                <w:bCs/>
              </w:rPr>
              <w:t>3</w:t>
            </w:r>
          </w:p>
        </w:tc>
        <w:tc>
          <w:tcPr>
            <w:tcW w:w="1993" w:type="dxa"/>
            <w:vMerge/>
          </w:tcPr>
          <w:p w14:paraId="2DEC459B" w14:textId="77777777" w:rsidR="005C3334" w:rsidRDefault="005C3334" w:rsidP="00712E2F">
            <w:pPr>
              <w:rPr>
                <w:rFonts w:ascii="宋体" w:hAnsi="宋体" w:cs="宋体" w:hint="eastAsia"/>
                <w:bCs/>
              </w:rPr>
            </w:pPr>
          </w:p>
        </w:tc>
        <w:tc>
          <w:tcPr>
            <w:tcW w:w="1965" w:type="dxa"/>
          </w:tcPr>
          <w:p w14:paraId="5C371017" w14:textId="77777777" w:rsidR="005C3334" w:rsidRDefault="005C3334" w:rsidP="00712E2F">
            <w:pPr>
              <w:rPr>
                <w:rFonts w:ascii="宋体" w:hAnsi="宋体" w:cs="宋体" w:hint="eastAsia"/>
                <w:bCs/>
              </w:rPr>
            </w:pPr>
            <w:r>
              <w:rPr>
                <w:rFonts w:ascii="宋体" w:hAnsi="宋体" w:cs="宋体" w:hint="eastAsia"/>
                <w:bCs/>
              </w:rPr>
              <w:t>制冷压缩机组</w:t>
            </w:r>
          </w:p>
        </w:tc>
        <w:tc>
          <w:tcPr>
            <w:tcW w:w="2640" w:type="dxa"/>
          </w:tcPr>
          <w:p w14:paraId="477138D1" w14:textId="77777777" w:rsidR="005C3334" w:rsidRDefault="005C3334" w:rsidP="00712E2F">
            <w:pPr>
              <w:rPr>
                <w:rFonts w:ascii="宋体" w:hAnsi="宋体" w:cs="宋体" w:hint="eastAsia"/>
                <w:bCs/>
              </w:rPr>
            </w:pPr>
            <w:r>
              <w:rPr>
                <w:rFonts w:ascii="宋体" w:hAnsi="宋体" w:cs="宋体" w:hint="eastAsia"/>
                <w:bCs/>
              </w:rPr>
              <w:t>/</w:t>
            </w:r>
          </w:p>
        </w:tc>
        <w:tc>
          <w:tcPr>
            <w:tcW w:w="1757" w:type="dxa"/>
            <w:vAlign w:val="center"/>
          </w:tcPr>
          <w:p w14:paraId="5D9D8A6F" w14:textId="77777777" w:rsidR="005C3334" w:rsidRDefault="005C3334" w:rsidP="00712E2F">
            <w:pPr>
              <w:rPr>
                <w:rFonts w:ascii="宋体" w:hAnsi="宋体" w:cs="宋体" w:hint="eastAsia"/>
                <w:bCs/>
              </w:rPr>
            </w:pPr>
          </w:p>
        </w:tc>
      </w:tr>
      <w:tr w:rsidR="005C3334" w14:paraId="0F3D2541" w14:textId="77777777" w:rsidTr="00712E2F">
        <w:trPr>
          <w:jc w:val="center"/>
        </w:trPr>
        <w:tc>
          <w:tcPr>
            <w:tcW w:w="946" w:type="dxa"/>
          </w:tcPr>
          <w:p w14:paraId="1A7F8609" w14:textId="77777777" w:rsidR="005C3334" w:rsidRPr="00E33D47" w:rsidRDefault="005C3334" w:rsidP="00712E2F">
            <w:pPr>
              <w:jc w:val="center"/>
              <w:rPr>
                <w:rFonts w:ascii="Times New Roman" w:hAnsi="Times New Roman"/>
                <w:bCs/>
              </w:rPr>
            </w:pPr>
            <w:r w:rsidRPr="00E33D47">
              <w:rPr>
                <w:rFonts w:ascii="Times New Roman" w:hAnsi="Times New Roman"/>
                <w:bCs/>
              </w:rPr>
              <w:t>4</w:t>
            </w:r>
          </w:p>
        </w:tc>
        <w:tc>
          <w:tcPr>
            <w:tcW w:w="1993" w:type="dxa"/>
          </w:tcPr>
          <w:p w14:paraId="2945D0A0" w14:textId="77777777" w:rsidR="005C3334" w:rsidRDefault="005C3334" w:rsidP="00712E2F">
            <w:pPr>
              <w:rPr>
                <w:rFonts w:ascii="宋体" w:hAnsi="宋体" w:cs="宋体" w:hint="eastAsia"/>
                <w:bCs/>
              </w:rPr>
            </w:pPr>
            <w:r>
              <w:rPr>
                <w:rFonts w:ascii="宋体" w:hAnsi="宋体" w:cs="宋体" w:hint="eastAsia"/>
                <w:bCs/>
              </w:rPr>
              <w:t>冷库库房</w:t>
            </w:r>
          </w:p>
        </w:tc>
        <w:tc>
          <w:tcPr>
            <w:tcW w:w="1965" w:type="dxa"/>
          </w:tcPr>
          <w:p w14:paraId="76615D4B" w14:textId="77777777" w:rsidR="005C3334" w:rsidRDefault="005C3334" w:rsidP="00712E2F">
            <w:pPr>
              <w:rPr>
                <w:rFonts w:ascii="宋体" w:hAnsi="宋体" w:cs="宋体" w:hint="eastAsia"/>
                <w:bCs/>
              </w:rPr>
            </w:pPr>
            <w:r>
              <w:rPr>
                <w:rFonts w:ascii="宋体" w:hAnsi="宋体" w:cs="宋体" w:hint="eastAsia"/>
                <w:bCs/>
              </w:rPr>
              <w:t>入库作业</w:t>
            </w:r>
          </w:p>
        </w:tc>
        <w:tc>
          <w:tcPr>
            <w:tcW w:w="2640" w:type="dxa"/>
          </w:tcPr>
          <w:p w14:paraId="1044F7EA" w14:textId="77777777" w:rsidR="005C3334" w:rsidRDefault="005C3334" w:rsidP="00712E2F">
            <w:pPr>
              <w:rPr>
                <w:rFonts w:ascii="宋体" w:hAnsi="宋体" w:cs="宋体" w:hint="eastAsia"/>
                <w:bCs/>
              </w:rPr>
            </w:pPr>
            <w:r>
              <w:rPr>
                <w:rFonts w:ascii="宋体" w:hAnsi="宋体" w:cs="宋体" w:hint="eastAsia"/>
                <w:bCs/>
              </w:rPr>
              <w:t>/</w:t>
            </w:r>
          </w:p>
        </w:tc>
        <w:tc>
          <w:tcPr>
            <w:tcW w:w="1757" w:type="dxa"/>
          </w:tcPr>
          <w:p w14:paraId="40E7949D" w14:textId="77777777" w:rsidR="005C3334" w:rsidRDefault="005C3334" w:rsidP="00712E2F">
            <w:pPr>
              <w:rPr>
                <w:rFonts w:ascii="宋体" w:hAnsi="宋体" w:cs="宋体" w:hint="eastAsia"/>
                <w:bCs/>
              </w:rPr>
            </w:pPr>
          </w:p>
        </w:tc>
      </w:tr>
      <w:tr w:rsidR="005C3334" w14:paraId="54CFCCC8" w14:textId="77777777" w:rsidTr="00712E2F">
        <w:trPr>
          <w:jc w:val="center"/>
        </w:trPr>
        <w:tc>
          <w:tcPr>
            <w:tcW w:w="946" w:type="dxa"/>
          </w:tcPr>
          <w:p w14:paraId="37CAD667" w14:textId="77777777" w:rsidR="005C3334" w:rsidRPr="00E33D47" w:rsidRDefault="005C3334" w:rsidP="00712E2F">
            <w:pPr>
              <w:jc w:val="center"/>
              <w:rPr>
                <w:rFonts w:ascii="Times New Roman" w:hAnsi="Times New Roman"/>
                <w:bCs/>
              </w:rPr>
            </w:pPr>
            <w:r w:rsidRPr="00E33D47">
              <w:rPr>
                <w:rFonts w:ascii="Times New Roman" w:hAnsi="Times New Roman"/>
                <w:bCs/>
              </w:rPr>
              <w:t>5</w:t>
            </w:r>
          </w:p>
        </w:tc>
        <w:tc>
          <w:tcPr>
            <w:tcW w:w="1993" w:type="dxa"/>
          </w:tcPr>
          <w:p w14:paraId="7B8FF233" w14:textId="77777777" w:rsidR="005C3334" w:rsidRDefault="005C3334" w:rsidP="00712E2F">
            <w:pPr>
              <w:rPr>
                <w:rFonts w:ascii="宋体" w:hAnsi="宋体" w:cs="宋体" w:hint="eastAsia"/>
                <w:bCs/>
              </w:rPr>
            </w:pPr>
            <w:r>
              <w:rPr>
                <w:rFonts w:ascii="宋体" w:hAnsi="宋体" w:cs="宋体" w:hint="eastAsia"/>
                <w:bCs/>
              </w:rPr>
              <w:t>加工车间</w:t>
            </w:r>
          </w:p>
        </w:tc>
        <w:tc>
          <w:tcPr>
            <w:tcW w:w="1965" w:type="dxa"/>
          </w:tcPr>
          <w:p w14:paraId="5C4B84FD" w14:textId="77777777" w:rsidR="005C3334" w:rsidRDefault="005C3334" w:rsidP="00712E2F">
            <w:pPr>
              <w:rPr>
                <w:rFonts w:ascii="宋体" w:hAnsi="宋体" w:cs="宋体" w:hint="eastAsia"/>
                <w:bCs/>
              </w:rPr>
            </w:pPr>
            <w:r>
              <w:rPr>
                <w:rFonts w:ascii="宋体" w:hAnsi="宋体" w:cs="宋体" w:hint="eastAsia"/>
                <w:bCs/>
              </w:rPr>
              <w:t>包装作业</w:t>
            </w:r>
          </w:p>
        </w:tc>
        <w:tc>
          <w:tcPr>
            <w:tcW w:w="2640" w:type="dxa"/>
          </w:tcPr>
          <w:p w14:paraId="5839BE7E" w14:textId="77777777" w:rsidR="005C3334" w:rsidRDefault="005C3334" w:rsidP="00712E2F">
            <w:pPr>
              <w:rPr>
                <w:rFonts w:ascii="宋体" w:hAnsi="宋体" w:cs="宋体" w:hint="eastAsia"/>
                <w:bCs/>
              </w:rPr>
            </w:pPr>
            <w:r>
              <w:rPr>
                <w:rFonts w:ascii="宋体" w:hAnsi="宋体" w:cs="宋体" w:hint="eastAsia"/>
                <w:bCs/>
              </w:rPr>
              <w:t>/</w:t>
            </w:r>
          </w:p>
        </w:tc>
        <w:tc>
          <w:tcPr>
            <w:tcW w:w="1757" w:type="dxa"/>
          </w:tcPr>
          <w:p w14:paraId="3A4DC6C8" w14:textId="77777777" w:rsidR="005C3334" w:rsidRDefault="005C3334" w:rsidP="00712E2F">
            <w:pPr>
              <w:rPr>
                <w:rFonts w:ascii="宋体" w:hAnsi="宋体" w:cs="宋体" w:hint="eastAsia"/>
                <w:bCs/>
              </w:rPr>
            </w:pPr>
          </w:p>
        </w:tc>
      </w:tr>
    </w:tbl>
    <w:p w14:paraId="42F00499" w14:textId="02CE68FB" w:rsidR="005C3334" w:rsidRDefault="005C3334" w:rsidP="007A04DE">
      <w:pPr>
        <w:pStyle w:val="afffffffff1"/>
      </w:pPr>
      <w:r>
        <w:rPr>
          <w:rFonts w:hint="eastAsia"/>
        </w:rPr>
        <w:t>危险源分析。以评价单元、风险点逐一展开，尽可能识别每个风险点的危险源，并分析失控诱因。危险源描述应符合结构化表述要求（</w:t>
      </w:r>
      <w:r w:rsidRPr="001545F3">
        <w:rPr>
          <w:rFonts w:ascii="Times New Roman"/>
        </w:rPr>
        <w:t>见表</w:t>
      </w:r>
      <w:r w:rsidRPr="001545F3">
        <w:rPr>
          <w:rFonts w:ascii="Times New Roman"/>
        </w:rPr>
        <w:t>8</w:t>
      </w:r>
      <w:r>
        <w:rPr>
          <w:rFonts w:hint="eastAsia"/>
        </w:rPr>
        <w:t>）。</w:t>
      </w:r>
    </w:p>
    <w:p w14:paraId="0CED49A9" w14:textId="393C271C" w:rsidR="005C3334" w:rsidRDefault="005C3334" w:rsidP="007A04DE">
      <w:pPr>
        <w:pStyle w:val="aff2"/>
        <w:spacing w:before="120" w:after="120"/>
      </w:pPr>
      <w:r>
        <w:rPr>
          <w:rFonts w:hint="eastAsia"/>
        </w:rPr>
        <w:t>危险源分析</w:t>
      </w:r>
    </w:p>
    <w:tbl>
      <w:tblPr>
        <w:tblW w:w="930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90"/>
        <w:gridCol w:w="2595"/>
        <w:gridCol w:w="885"/>
        <w:gridCol w:w="1145"/>
        <w:gridCol w:w="2710"/>
      </w:tblGrid>
      <w:tr w:rsidR="005C3334" w14:paraId="69E34B3C" w14:textId="77777777" w:rsidTr="00712E2F">
        <w:tc>
          <w:tcPr>
            <w:tcW w:w="1965" w:type="dxa"/>
            <w:gridSpan w:val="2"/>
          </w:tcPr>
          <w:p w14:paraId="062F9757" w14:textId="77777777" w:rsidR="005C3334" w:rsidRDefault="005C3334" w:rsidP="00712E2F">
            <w:pPr>
              <w:spacing w:line="360" w:lineRule="auto"/>
              <w:jc w:val="center"/>
              <w:rPr>
                <w:rFonts w:ascii="宋体" w:hAnsi="宋体" w:cs="宋体" w:hint="eastAsia"/>
                <w:bCs/>
              </w:rPr>
            </w:pPr>
            <w:r>
              <w:rPr>
                <w:rFonts w:ascii="宋体" w:hAnsi="宋体" w:cs="宋体" w:hint="eastAsia"/>
                <w:bCs/>
              </w:rPr>
              <w:t>风险点</w:t>
            </w:r>
          </w:p>
        </w:tc>
        <w:tc>
          <w:tcPr>
            <w:tcW w:w="7335" w:type="dxa"/>
            <w:gridSpan w:val="4"/>
          </w:tcPr>
          <w:p w14:paraId="6ACD87E5" w14:textId="77777777" w:rsidR="005C3334" w:rsidRDefault="005C3334" w:rsidP="00712E2F">
            <w:pPr>
              <w:spacing w:line="360" w:lineRule="auto"/>
              <w:jc w:val="center"/>
              <w:rPr>
                <w:rFonts w:ascii="宋体" w:hAnsi="宋体" w:cs="宋体" w:hint="eastAsia"/>
                <w:bCs/>
              </w:rPr>
            </w:pPr>
            <w:r>
              <w:rPr>
                <w:rFonts w:ascii="宋体" w:hAnsi="宋体" w:cs="宋体" w:hint="eastAsia"/>
                <w:bCs/>
              </w:rPr>
              <w:t>贮氨器</w:t>
            </w:r>
          </w:p>
        </w:tc>
      </w:tr>
      <w:tr w:rsidR="005C3334" w14:paraId="18207FAD" w14:textId="77777777" w:rsidTr="00712E2F">
        <w:tc>
          <w:tcPr>
            <w:tcW w:w="1965" w:type="dxa"/>
            <w:gridSpan w:val="2"/>
          </w:tcPr>
          <w:p w14:paraId="4FCA1E21"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危险源</w:t>
            </w:r>
          </w:p>
        </w:tc>
        <w:tc>
          <w:tcPr>
            <w:tcW w:w="2595" w:type="dxa"/>
          </w:tcPr>
          <w:p w14:paraId="17F2AFF5" w14:textId="77777777" w:rsidR="005C3334" w:rsidRDefault="005C3334" w:rsidP="00712E2F">
            <w:pPr>
              <w:spacing w:line="360" w:lineRule="auto"/>
              <w:jc w:val="center"/>
              <w:rPr>
                <w:rFonts w:ascii="宋体" w:hAnsi="宋体" w:cs="宋体" w:hint="eastAsia"/>
                <w:bCs/>
              </w:rPr>
            </w:pPr>
            <w:r>
              <w:rPr>
                <w:rFonts w:ascii="宋体" w:hAnsi="宋体" w:cs="宋体" w:hint="eastAsia"/>
                <w:bCs/>
              </w:rPr>
              <w:t>氨蒸气泄漏</w:t>
            </w:r>
          </w:p>
        </w:tc>
        <w:tc>
          <w:tcPr>
            <w:tcW w:w="2030" w:type="dxa"/>
            <w:gridSpan w:val="2"/>
          </w:tcPr>
          <w:p w14:paraId="545506EB"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后果</w:t>
            </w:r>
          </w:p>
        </w:tc>
        <w:tc>
          <w:tcPr>
            <w:tcW w:w="2710" w:type="dxa"/>
          </w:tcPr>
          <w:p w14:paraId="5CF7590F" w14:textId="77777777" w:rsidR="005C3334" w:rsidRDefault="005C3334" w:rsidP="00712E2F">
            <w:pPr>
              <w:spacing w:line="360" w:lineRule="auto"/>
              <w:jc w:val="center"/>
              <w:rPr>
                <w:rFonts w:ascii="宋体" w:hAnsi="宋体" w:cs="宋体" w:hint="eastAsia"/>
                <w:bCs/>
              </w:rPr>
            </w:pPr>
            <w:r>
              <w:rPr>
                <w:rFonts w:ascii="宋体" w:hAnsi="宋体" w:cs="宋体" w:hint="eastAsia"/>
                <w:bCs/>
              </w:rPr>
              <w:t>爆燃、中毒</w:t>
            </w:r>
          </w:p>
        </w:tc>
      </w:tr>
      <w:tr w:rsidR="005C3334" w14:paraId="3F314CB8" w14:textId="77777777" w:rsidTr="00712E2F">
        <w:tc>
          <w:tcPr>
            <w:tcW w:w="1965" w:type="dxa"/>
            <w:gridSpan w:val="2"/>
          </w:tcPr>
          <w:p w14:paraId="31CEC08D" w14:textId="77777777" w:rsidR="005C3334" w:rsidRDefault="005C3334" w:rsidP="00712E2F">
            <w:pPr>
              <w:spacing w:line="360" w:lineRule="auto"/>
              <w:jc w:val="center"/>
              <w:rPr>
                <w:rFonts w:ascii="宋体" w:hAnsi="宋体" w:cs="宋体" w:hint="eastAsia"/>
                <w:bCs/>
              </w:rPr>
            </w:pPr>
            <w:r>
              <w:rPr>
                <w:rFonts w:ascii="宋体" w:hAnsi="宋体" w:cs="宋体" w:hint="eastAsia"/>
                <w:bCs/>
              </w:rPr>
              <w:t>事件</w:t>
            </w:r>
          </w:p>
        </w:tc>
        <w:tc>
          <w:tcPr>
            <w:tcW w:w="7335" w:type="dxa"/>
            <w:gridSpan w:val="4"/>
          </w:tcPr>
          <w:p w14:paraId="63BDBD9B" w14:textId="77777777" w:rsidR="005C3334" w:rsidRDefault="005C3334" w:rsidP="00712E2F">
            <w:pPr>
              <w:spacing w:line="360" w:lineRule="auto"/>
              <w:rPr>
                <w:rFonts w:ascii="宋体" w:hAnsi="宋体" w:cs="宋体" w:hint="eastAsia"/>
                <w:bCs/>
              </w:rPr>
            </w:pPr>
            <w:r>
              <w:rPr>
                <w:rFonts w:ascii="宋体" w:hAnsi="宋体" w:cs="宋体" w:hint="eastAsia"/>
                <w:bCs/>
              </w:rPr>
              <w:t>氨蒸气泄漏并积聚达到爆炸极限情况下，遇到点火源，引起爆燃事故。</w:t>
            </w:r>
          </w:p>
          <w:p w14:paraId="011FE217" w14:textId="77777777" w:rsidR="005C3334" w:rsidRDefault="005C3334" w:rsidP="00712E2F">
            <w:pPr>
              <w:spacing w:line="360" w:lineRule="auto"/>
              <w:rPr>
                <w:rFonts w:ascii="宋体" w:hAnsi="宋体" w:cs="宋体" w:hint="eastAsia"/>
                <w:bCs/>
              </w:rPr>
            </w:pPr>
            <w:r>
              <w:rPr>
                <w:rFonts w:ascii="宋体" w:hAnsi="宋体" w:cs="宋体" w:hint="eastAsia"/>
                <w:bCs/>
              </w:rPr>
              <w:t>氨蒸气泄漏后扩散到人员密集场所，引起中毒事故。</w:t>
            </w:r>
          </w:p>
        </w:tc>
      </w:tr>
      <w:tr w:rsidR="005C3334" w14:paraId="2FDA1CC6" w14:textId="77777777" w:rsidTr="00712E2F">
        <w:tc>
          <w:tcPr>
            <w:tcW w:w="9300" w:type="dxa"/>
            <w:gridSpan w:val="6"/>
          </w:tcPr>
          <w:p w14:paraId="615909CE" w14:textId="77777777" w:rsidR="005C3334" w:rsidRDefault="005C3334" w:rsidP="00712E2F">
            <w:pPr>
              <w:spacing w:line="360" w:lineRule="auto"/>
              <w:jc w:val="center"/>
              <w:rPr>
                <w:rFonts w:ascii="宋体" w:hAnsi="宋体" w:cs="宋体" w:hint="eastAsia"/>
              </w:rPr>
            </w:pPr>
            <w:r>
              <w:rPr>
                <w:rFonts w:ascii="宋体" w:hAnsi="宋体" w:cs="宋体" w:hint="eastAsia"/>
                <w:bCs/>
              </w:rPr>
              <w:t>失控诱因</w:t>
            </w:r>
          </w:p>
        </w:tc>
      </w:tr>
      <w:tr w:rsidR="005C3334" w14:paraId="76D35056" w14:textId="77777777" w:rsidTr="00712E2F">
        <w:tc>
          <w:tcPr>
            <w:tcW w:w="675" w:type="dxa"/>
          </w:tcPr>
          <w:p w14:paraId="5D8E91D9"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序号</w:t>
            </w:r>
          </w:p>
        </w:tc>
        <w:tc>
          <w:tcPr>
            <w:tcW w:w="3885" w:type="dxa"/>
            <w:gridSpan w:val="2"/>
          </w:tcPr>
          <w:p w14:paraId="417E1B55"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危险源失控诱因</w:t>
            </w:r>
          </w:p>
        </w:tc>
        <w:tc>
          <w:tcPr>
            <w:tcW w:w="885" w:type="dxa"/>
          </w:tcPr>
          <w:p w14:paraId="1DEB5C21"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序号</w:t>
            </w:r>
          </w:p>
        </w:tc>
        <w:tc>
          <w:tcPr>
            <w:tcW w:w="3855" w:type="dxa"/>
            <w:gridSpan w:val="2"/>
          </w:tcPr>
          <w:p w14:paraId="693A2611"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后果出现及扩大诱因</w:t>
            </w:r>
          </w:p>
        </w:tc>
      </w:tr>
      <w:tr w:rsidR="005C3334" w14:paraId="3ECCD758" w14:textId="77777777" w:rsidTr="00712E2F">
        <w:tc>
          <w:tcPr>
            <w:tcW w:w="675" w:type="dxa"/>
            <w:vAlign w:val="center"/>
          </w:tcPr>
          <w:p w14:paraId="23BDDE3E" w14:textId="77777777" w:rsidR="005C3334" w:rsidRDefault="005C3334" w:rsidP="00712E2F">
            <w:pPr>
              <w:spacing w:line="360" w:lineRule="auto"/>
              <w:jc w:val="center"/>
              <w:rPr>
                <w:rFonts w:ascii="宋体" w:hAnsi="宋体" w:cs="宋体" w:hint="eastAsia"/>
                <w:bCs/>
              </w:rPr>
            </w:pPr>
            <w:r>
              <w:rPr>
                <w:rFonts w:ascii="宋体" w:hAnsi="宋体" w:cs="宋体" w:hint="eastAsia"/>
                <w:bCs/>
              </w:rPr>
              <w:t>1</w:t>
            </w:r>
          </w:p>
        </w:tc>
        <w:tc>
          <w:tcPr>
            <w:tcW w:w="3885" w:type="dxa"/>
            <w:gridSpan w:val="2"/>
            <w:vAlign w:val="center"/>
          </w:tcPr>
          <w:p w14:paraId="4603B2AF" w14:textId="77777777" w:rsidR="005C3334" w:rsidRDefault="005C3334" w:rsidP="00712E2F">
            <w:pPr>
              <w:rPr>
                <w:rFonts w:ascii="宋体" w:hAnsi="宋体" w:cs="宋体" w:hint="eastAsia"/>
                <w:bCs/>
              </w:rPr>
            </w:pPr>
            <w:r>
              <w:rPr>
                <w:rFonts w:ascii="宋体" w:hAnsi="宋体" w:cs="宋体" w:hint="eastAsia"/>
                <w:bCs/>
              </w:rPr>
              <w:t>贮氨器制造不良，导致焊缝泄漏。</w:t>
            </w:r>
          </w:p>
        </w:tc>
        <w:tc>
          <w:tcPr>
            <w:tcW w:w="885" w:type="dxa"/>
            <w:vAlign w:val="center"/>
          </w:tcPr>
          <w:p w14:paraId="16EACC54" w14:textId="77777777" w:rsidR="005C3334" w:rsidRDefault="005C3334" w:rsidP="00712E2F">
            <w:pPr>
              <w:jc w:val="center"/>
              <w:rPr>
                <w:rFonts w:ascii="宋体" w:hAnsi="宋体" w:cs="宋体" w:hint="eastAsia"/>
                <w:bCs/>
              </w:rPr>
            </w:pPr>
            <w:r>
              <w:rPr>
                <w:rFonts w:ascii="宋体" w:hAnsi="宋体" w:cs="宋体" w:hint="eastAsia"/>
                <w:bCs/>
              </w:rPr>
              <w:t>1</w:t>
            </w:r>
          </w:p>
        </w:tc>
        <w:tc>
          <w:tcPr>
            <w:tcW w:w="3855" w:type="dxa"/>
            <w:gridSpan w:val="2"/>
            <w:vAlign w:val="center"/>
          </w:tcPr>
          <w:p w14:paraId="48AD6372" w14:textId="77777777" w:rsidR="005C3334" w:rsidRDefault="005C3334" w:rsidP="00712E2F">
            <w:pPr>
              <w:rPr>
                <w:rFonts w:ascii="宋体" w:hAnsi="宋体" w:cs="宋体" w:hint="eastAsia"/>
                <w:bCs/>
              </w:rPr>
            </w:pPr>
            <w:r>
              <w:rPr>
                <w:rFonts w:ascii="宋体" w:hAnsi="宋体" w:cs="宋体" w:hint="eastAsia"/>
                <w:bCs/>
              </w:rPr>
              <w:t>爆炸危险区域内有不防爆电气设备或防爆电气设备选型不当。</w:t>
            </w:r>
          </w:p>
        </w:tc>
      </w:tr>
      <w:tr w:rsidR="005C3334" w14:paraId="33D4D8CD" w14:textId="77777777" w:rsidTr="00712E2F">
        <w:tc>
          <w:tcPr>
            <w:tcW w:w="675" w:type="dxa"/>
            <w:vAlign w:val="center"/>
          </w:tcPr>
          <w:p w14:paraId="536E1705" w14:textId="77777777" w:rsidR="005C3334" w:rsidRDefault="005C3334" w:rsidP="00712E2F">
            <w:pPr>
              <w:spacing w:line="360" w:lineRule="auto"/>
              <w:jc w:val="center"/>
              <w:rPr>
                <w:rFonts w:ascii="宋体" w:hAnsi="宋体" w:cs="宋体" w:hint="eastAsia"/>
                <w:bCs/>
              </w:rPr>
            </w:pPr>
            <w:r>
              <w:rPr>
                <w:rFonts w:ascii="宋体" w:hAnsi="宋体" w:cs="宋体" w:hint="eastAsia"/>
                <w:bCs/>
              </w:rPr>
              <w:t>2</w:t>
            </w:r>
          </w:p>
        </w:tc>
        <w:tc>
          <w:tcPr>
            <w:tcW w:w="3885" w:type="dxa"/>
            <w:gridSpan w:val="2"/>
            <w:vAlign w:val="center"/>
          </w:tcPr>
          <w:p w14:paraId="417602AB" w14:textId="77777777" w:rsidR="005C3334" w:rsidRDefault="005C3334" w:rsidP="00712E2F">
            <w:pPr>
              <w:rPr>
                <w:rFonts w:ascii="宋体" w:hAnsi="宋体" w:cs="宋体" w:hint="eastAsia"/>
                <w:bCs/>
              </w:rPr>
            </w:pPr>
            <w:r>
              <w:rPr>
                <w:rFonts w:ascii="宋体" w:hAnsi="宋体" w:cs="宋体" w:hint="eastAsia"/>
                <w:bCs/>
              </w:rPr>
              <w:t>……</w:t>
            </w:r>
          </w:p>
        </w:tc>
        <w:tc>
          <w:tcPr>
            <w:tcW w:w="885" w:type="dxa"/>
            <w:vAlign w:val="center"/>
          </w:tcPr>
          <w:p w14:paraId="67512A84" w14:textId="77777777" w:rsidR="005C3334" w:rsidRDefault="005C3334" w:rsidP="00712E2F">
            <w:pPr>
              <w:jc w:val="center"/>
              <w:rPr>
                <w:rFonts w:ascii="宋体" w:hAnsi="宋体" w:cs="宋体" w:hint="eastAsia"/>
                <w:bCs/>
              </w:rPr>
            </w:pPr>
          </w:p>
        </w:tc>
        <w:tc>
          <w:tcPr>
            <w:tcW w:w="3855" w:type="dxa"/>
            <w:gridSpan w:val="2"/>
            <w:vAlign w:val="center"/>
          </w:tcPr>
          <w:p w14:paraId="2FD90656" w14:textId="77777777" w:rsidR="005C3334" w:rsidRDefault="005C3334" w:rsidP="00712E2F">
            <w:pPr>
              <w:rPr>
                <w:rFonts w:ascii="宋体" w:hAnsi="宋体" w:cs="宋体" w:hint="eastAsia"/>
                <w:bCs/>
              </w:rPr>
            </w:pPr>
            <w:r>
              <w:rPr>
                <w:rFonts w:ascii="宋体" w:hAnsi="宋体" w:cs="宋体" w:hint="eastAsia"/>
                <w:bCs/>
              </w:rPr>
              <w:t>……</w:t>
            </w:r>
          </w:p>
        </w:tc>
      </w:tr>
    </w:tbl>
    <w:p w14:paraId="078DF5DC" w14:textId="1B570193" w:rsidR="005C3334" w:rsidRDefault="005C3334" w:rsidP="00872B90">
      <w:pPr>
        <w:pStyle w:val="afffffffff1"/>
        <w:spacing w:beforeLines="100" w:before="240" w:afterLines="50" w:after="120"/>
      </w:pPr>
      <w:r>
        <w:rPr>
          <w:rFonts w:hint="eastAsia"/>
        </w:rPr>
        <w:t>定性定量评价应包括如下内容：</w:t>
      </w:r>
    </w:p>
    <w:p w14:paraId="6C1DB40A" w14:textId="4C199C16" w:rsidR="005C3334" w:rsidRDefault="005C3334" w:rsidP="00872B90">
      <w:pPr>
        <w:pStyle w:val="af5"/>
        <w:numPr>
          <w:ilvl w:val="0"/>
          <w:numId w:val="39"/>
        </w:numPr>
        <w:spacing w:line="300" w:lineRule="auto"/>
        <w:ind w:left="850" w:hanging="425"/>
      </w:pPr>
      <w:r>
        <w:rPr>
          <w:rFonts w:hint="eastAsia"/>
        </w:rPr>
        <w:t>各评价单元的评价方法和评价准则选择，以及选用理由，并对评价方法的局限性和可能出现的偏差进行说明，使用的安全评价方法应符</w:t>
      </w:r>
      <w:r w:rsidRPr="001545F3">
        <w:rPr>
          <w:rFonts w:ascii="Times New Roman"/>
        </w:rPr>
        <w:t>合</w:t>
      </w:r>
      <w:r w:rsidRPr="001545F3">
        <w:rPr>
          <w:rFonts w:ascii="Times New Roman"/>
        </w:rPr>
        <w:t>AQ 8001</w:t>
      </w:r>
      <w:r>
        <w:rPr>
          <w:rFonts w:hint="eastAsia"/>
        </w:rPr>
        <w:t>的规定，安全评价方法主要来</w:t>
      </w:r>
      <w:r w:rsidRPr="001545F3">
        <w:rPr>
          <w:rFonts w:ascii="Times New Roman"/>
        </w:rPr>
        <w:t>源于</w:t>
      </w:r>
      <w:r w:rsidRPr="001545F3">
        <w:rPr>
          <w:rFonts w:ascii="Times New Roman"/>
        </w:rPr>
        <w:t>GB/T 27921</w:t>
      </w:r>
      <w:r>
        <w:rPr>
          <w:rFonts w:hint="eastAsia"/>
        </w:rPr>
        <w:t>。</w:t>
      </w:r>
    </w:p>
    <w:p w14:paraId="2F9067CF" w14:textId="5CF01CB7" w:rsidR="005C3334" w:rsidRPr="007A04DE" w:rsidRDefault="005C3334" w:rsidP="00872B90">
      <w:pPr>
        <w:pStyle w:val="af5"/>
        <w:spacing w:line="300" w:lineRule="auto"/>
        <w:ind w:left="850" w:hanging="425"/>
      </w:pPr>
      <w:r>
        <w:rPr>
          <w:rFonts w:hint="eastAsia"/>
        </w:rPr>
        <w:t>符合性评价过程及结果：</w:t>
      </w:r>
      <w:r w:rsidRPr="007A04DE">
        <w:rPr>
          <w:rFonts w:hAnsi="宋体" w:cs="宋体" w:hint="eastAsia"/>
          <w:bCs/>
        </w:rPr>
        <w:t>企业选址、总平面布置、建构筑物、特种设备监检、防雷防静电检测、电气防爆检测、管理制度、应急救援预案、人员从业资格、公用工程匹配性等内容应进行符合性评价。</w:t>
      </w:r>
    </w:p>
    <w:p w14:paraId="48C0E79C" w14:textId="22E99AA5" w:rsidR="005C3334" w:rsidRPr="00872B90" w:rsidRDefault="005C3334" w:rsidP="00872B90">
      <w:pPr>
        <w:pStyle w:val="af5"/>
        <w:spacing w:line="300" w:lineRule="auto"/>
        <w:ind w:left="850" w:hanging="425"/>
      </w:pPr>
      <w:r>
        <w:rPr>
          <w:rFonts w:hint="eastAsia"/>
        </w:rPr>
        <w:t>固有风险点评价和控制风险评价过程及结果：</w:t>
      </w:r>
      <w:r w:rsidRPr="007A04DE">
        <w:rPr>
          <w:rFonts w:hAnsi="宋体" w:cs="宋体" w:hint="eastAsia"/>
          <w:bCs/>
        </w:rPr>
        <w:t>固有风险点评价和控制风险评价应根据风险点分析出的各类危险源进行评价，风险控制措施应与固有风险点有对应关系（</w:t>
      </w:r>
      <w:r w:rsidRPr="001545F3">
        <w:rPr>
          <w:rFonts w:ascii="Times New Roman"/>
          <w:bCs/>
        </w:rPr>
        <w:t>见表</w:t>
      </w:r>
      <w:r w:rsidRPr="001545F3">
        <w:rPr>
          <w:rFonts w:ascii="Times New Roman"/>
          <w:bCs/>
        </w:rPr>
        <w:t>9</w:t>
      </w:r>
      <w:r w:rsidRPr="007A04DE">
        <w:rPr>
          <w:rFonts w:hAnsi="宋体" w:cs="宋体" w:hint="eastAsia"/>
          <w:bCs/>
        </w:rPr>
        <w:t>），风险管控措施汇总后，应结</w:t>
      </w:r>
      <w:r w:rsidRPr="001545F3">
        <w:rPr>
          <w:rFonts w:ascii="Times New Roman"/>
          <w:bCs/>
        </w:rPr>
        <w:t>合</w:t>
      </w:r>
      <w:r w:rsidRPr="001545F3">
        <w:rPr>
          <w:rFonts w:ascii="Times New Roman"/>
        </w:rPr>
        <w:t>AQ 7015</w:t>
      </w:r>
      <w:r w:rsidRPr="001545F3">
        <w:rPr>
          <w:rFonts w:ascii="Times New Roman"/>
        </w:rPr>
        <w:t>、</w:t>
      </w:r>
      <w:r w:rsidRPr="001545F3">
        <w:rPr>
          <w:rFonts w:ascii="Times New Roman"/>
        </w:rPr>
        <w:t>GB/T 28009</w:t>
      </w:r>
      <w:r w:rsidRPr="001545F3">
        <w:rPr>
          <w:rFonts w:ascii="Times New Roman"/>
        </w:rPr>
        <w:t>、</w:t>
      </w:r>
      <w:r w:rsidRPr="001545F3">
        <w:rPr>
          <w:rFonts w:ascii="Times New Roman"/>
        </w:rPr>
        <w:t>GB 50016</w:t>
      </w:r>
      <w:r w:rsidRPr="001545F3">
        <w:rPr>
          <w:rFonts w:ascii="Times New Roman"/>
        </w:rPr>
        <w:t>、</w:t>
      </w:r>
      <w:r w:rsidRPr="001545F3">
        <w:rPr>
          <w:rFonts w:ascii="Times New Roman"/>
        </w:rPr>
        <w:t>GB 50072</w:t>
      </w:r>
      <w:r w:rsidRPr="001545F3">
        <w:rPr>
          <w:rFonts w:ascii="Times New Roman"/>
        </w:rPr>
        <w:t>、</w:t>
      </w:r>
      <w:r w:rsidRPr="001545F3">
        <w:rPr>
          <w:rFonts w:ascii="Times New Roman"/>
        </w:rPr>
        <w:t>GB 50187</w:t>
      </w:r>
      <w:r w:rsidRPr="001545F3">
        <w:rPr>
          <w:rFonts w:ascii="Times New Roman"/>
          <w:bCs/>
        </w:rPr>
        <w:t>进</w:t>
      </w:r>
      <w:r w:rsidRPr="007A04DE">
        <w:rPr>
          <w:rFonts w:hAnsi="宋体" w:cs="宋体" w:hint="eastAsia"/>
          <w:bCs/>
        </w:rPr>
        <w:t>行符合性评价。</w:t>
      </w:r>
    </w:p>
    <w:p w14:paraId="3CCB2899" w14:textId="77777777" w:rsidR="00872B90" w:rsidRDefault="00872B90" w:rsidP="00872B90">
      <w:pPr>
        <w:pStyle w:val="af5"/>
        <w:numPr>
          <w:ilvl w:val="0"/>
          <w:numId w:val="0"/>
        </w:numPr>
        <w:spacing w:line="300" w:lineRule="auto"/>
        <w:ind w:left="850"/>
        <w:rPr>
          <w:rFonts w:hAnsi="宋体" w:cs="宋体"/>
          <w:bCs/>
        </w:rPr>
      </w:pPr>
    </w:p>
    <w:p w14:paraId="5201AF0B" w14:textId="77777777" w:rsidR="00872B90" w:rsidRPr="007A04DE" w:rsidRDefault="00872B90" w:rsidP="00872B90">
      <w:pPr>
        <w:pStyle w:val="af5"/>
        <w:numPr>
          <w:ilvl w:val="0"/>
          <w:numId w:val="0"/>
        </w:numPr>
        <w:spacing w:line="300" w:lineRule="auto"/>
        <w:ind w:left="850"/>
        <w:rPr>
          <w:rFonts w:hint="eastAsia"/>
        </w:rPr>
      </w:pPr>
    </w:p>
    <w:p w14:paraId="2B821FE5" w14:textId="1E3D9B83" w:rsidR="005C3334" w:rsidRDefault="005C3334" w:rsidP="007A04DE">
      <w:pPr>
        <w:pStyle w:val="aff2"/>
        <w:spacing w:before="120" w:after="120"/>
      </w:pPr>
      <w:r>
        <w:rPr>
          <w:rFonts w:hint="eastAsia"/>
        </w:rPr>
        <w:lastRenderedPageBreak/>
        <w:t>固有风险点与风险管控措施</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10"/>
        <w:gridCol w:w="2670"/>
        <w:gridCol w:w="1955"/>
        <w:gridCol w:w="2860"/>
      </w:tblGrid>
      <w:tr w:rsidR="005C3334" w14:paraId="74A3CFF3" w14:textId="77777777" w:rsidTr="00712E2F">
        <w:trPr>
          <w:jc w:val="center"/>
        </w:trPr>
        <w:tc>
          <w:tcPr>
            <w:tcW w:w="1860" w:type="dxa"/>
            <w:gridSpan w:val="2"/>
          </w:tcPr>
          <w:p w14:paraId="3A0E4DF6" w14:textId="77777777" w:rsidR="005C3334" w:rsidRDefault="005C3334" w:rsidP="00712E2F">
            <w:pPr>
              <w:spacing w:line="360" w:lineRule="auto"/>
              <w:jc w:val="center"/>
              <w:rPr>
                <w:rFonts w:ascii="宋体" w:hAnsi="宋体" w:cs="宋体" w:hint="eastAsia"/>
                <w:bCs/>
              </w:rPr>
            </w:pPr>
            <w:r>
              <w:rPr>
                <w:rFonts w:ascii="宋体" w:hAnsi="宋体" w:cs="宋体" w:hint="eastAsia"/>
                <w:bCs/>
              </w:rPr>
              <w:t>风险点</w:t>
            </w:r>
          </w:p>
        </w:tc>
        <w:tc>
          <w:tcPr>
            <w:tcW w:w="7485" w:type="dxa"/>
            <w:gridSpan w:val="3"/>
          </w:tcPr>
          <w:p w14:paraId="51D1B1EE" w14:textId="77777777" w:rsidR="005C3334" w:rsidRDefault="005C3334" w:rsidP="00712E2F">
            <w:pPr>
              <w:spacing w:line="360" w:lineRule="auto"/>
              <w:jc w:val="center"/>
              <w:rPr>
                <w:rFonts w:ascii="宋体" w:hAnsi="宋体" w:cs="宋体" w:hint="eastAsia"/>
                <w:bCs/>
              </w:rPr>
            </w:pPr>
            <w:r>
              <w:rPr>
                <w:rFonts w:ascii="宋体" w:hAnsi="宋体" w:cs="宋体" w:hint="eastAsia"/>
                <w:bCs/>
              </w:rPr>
              <w:t>贮氨器</w:t>
            </w:r>
          </w:p>
        </w:tc>
      </w:tr>
      <w:tr w:rsidR="005C3334" w14:paraId="5EDE910C" w14:textId="77777777" w:rsidTr="00712E2F">
        <w:trPr>
          <w:jc w:val="center"/>
        </w:trPr>
        <w:tc>
          <w:tcPr>
            <w:tcW w:w="1860" w:type="dxa"/>
            <w:gridSpan w:val="2"/>
          </w:tcPr>
          <w:p w14:paraId="4B6D8AF9"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危险源</w:t>
            </w:r>
          </w:p>
        </w:tc>
        <w:tc>
          <w:tcPr>
            <w:tcW w:w="2670" w:type="dxa"/>
          </w:tcPr>
          <w:p w14:paraId="4479494D" w14:textId="77777777" w:rsidR="005C3334" w:rsidRDefault="005C3334" w:rsidP="00712E2F">
            <w:pPr>
              <w:spacing w:line="360" w:lineRule="auto"/>
              <w:jc w:val="center"/>
              <w:rPr>
                <w:rFonts w:ascii="宋体" w:hAnsi="宋体" w:cs="宋体" w:hint="eastAsia"/>
                <w:bCs/>
              </w:rPr>
            </w:pPr>
            <w:r>
              <w:rPr>
                <w:rFonts w:ascii="宋体" w:hAnsi="宋体" w:cs="宋体" w:hint="eastAsia"/>
                <w:bCs/>
              </w:rPr>
              <w:t>氨蒸气泄漏</w:t>
            </w:r>
          </w:p>
        </w:tc>
        <w:tc>
          <w:tcPr>
            <w:tcW w:w="1955" w:type="dxa"/>
          </w:tcPr>
          <w:p w14:paraId="7BFDD673"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后果</w:t>
            </w:r>
          </w:p>
        </w:tc>
        <w:tc>
          <w:tcPr>
            <w:tcW w:w="2860" w:type="dxa"/>
          </w:tcPr>
          <w:p w14:paraId="541904EB" w14:textId="77777777" w:rsidR="005C3334" w:rsidRDefault="005C3334" w:rsidP="00712E2F">
            <w:pPr>
              <w:spacing w:line="360" w:lineRule="auto"/>
              <w:jc w:val="center"/>
              <w:rPr>
                <w:rFonts w:ascii="宋体" w:hAnsi="宋体" w:cs="宋体" w:hint="eastAsia"/>
                <w:bCs/>
              </w:rPr>
            </w:pPr>
            <w:r>
              <w:rPr>
                <w:rFonts w:ascii="宋体" w:hAnsi="宋体" w:cs="宋体" w:hint="eastAsia"/>
                <w:bCs/>
              </w:rPr>
              <w:t>爆燃、中毒</w:t>
            </w:r>
          </w:p>
        </w:tc>
      </w:tr>
      <w:tr w:rsidR="005C3334" w14:paraId="049CB617" w14:textId="77777777" w:rsidTr="00712E2F">
        <w:trPr>
          <w:jc w:val="center"/>
        </w:trPr>
        <w:tc>
          <w:tcPr>
            <w:tcW w:w="1860" w:type="dxa"/>
            <w:gridSpan w:val="2"/>
          </w:tcPr>
          <w:p w14:paraId="1B6F65DC" w14:textId="77777777" w:rsidR="005C3334" w:rsidRDefault="005C3334" w:rsidP="00712E2F">
            <w:pPr>
              <w:spacing w:line="360" w:lineRule="auto"/>
              <w:jc w:val="center"/>
              <w:rPr>
                <w:rFonts w:ascii="宋体" w:hAnsi="宋体" w:cs="宋体" w:hint="eastAsia"/>
                <w:bCs/>
              </w:rPr>
            </w:pPr>
            <w:r>
              <w:rPr>
                <w:rFonts w:ascii="宋体" w:hAnsi="宋体" w:cs="宋体" w:hint="eastAsia"/>
                <w:bCs/>
              </w:rPr>
              <w:t>事件</w:t>
            </w:r>
          </w:p>
        </w:tc>
        <w:tc>
          <w:tcPr>
            <w:tcW w:w="7485" w:type="dxa"/>
            <w:gridSpan w:val="3"/>
          </w:tcPr>
          <w:p w14:paraId="1BA35D00" w14:textId="77777777" w:rsidR="005C3334" w:rsidRDefault="005C3334" w:rsidP="00712E2F">
            <w:pPr>
              <w:spacing w:line="360" w:lineRule="auto"/>
              <w:rPr>
                <w:rFonts w:ascii="宋体" w:hAnsi="宋体" w:cs="宋体" w:hint="eastAsia"/>
                <w:bCs/>
              </w:rPr>
            </w:pPr>
            <w:r>
              <w:rPr>
                <w:rFonts w:ascii="宋体" w:hAnsi="宋体" w:cs="宋体" w:hint="eastAsia"/>
                <w:bCs/>
              </w:rPr>
              <w:t>氨蒸气泄漏并积聚达到爆炸极限情况下，遇到点火源，引起爆燃事故。</w:t>
            </w:r>
          </w:p>
          <w:p w14:paraId="653385B1" w14:textId="77777777" w:rsidR="005C3334" w:rsidRDefault="005C3334" w:rsidP="00712E2F">
            <w:pPr>
              <w:spacing w:line="360" w:lineRule="auto"/>
              <w:rPr>
                <w:rFonts w:ascii="宋体" w:hAnsi="宋体" w:cs="宋体" w:hint="eastAsia"/>
                <w:bCs/>
              </w:rPr>
            </w:pPr>
            <w:r>
              <w:rPr>
                <w:rFonts w:ascii="宋体" w:hAnsi="宋体" w:cs="宋体" w:hint="eastAsia"/>
                <w:bCs/>
              </w:rPr>
              <w:t>氨蒸气泄漏后扩散到人员密集场所，引起中毒事故。</w:t>
            </w:r>
          </w:p>
        </w:tc>
      </w:tr>
      <w:tr w:rsidR="005C3334" w14:paraId="61F97EAF" w14:textId="77777777" w:rsidTr="00712E2F">
        <w:trPr>
          <w:jc w:val="center"/>
        </w:trPr>
        <w:tc>
          <w:tcPr>
            <w:tcW w:w="4530" w:type="dxa"/>
            <w:gridSpan w:val="3"/>
          </w:tcPr>
          <w:p w14:paraId="0B023B38" w14:textId="77777777" w:rsidR="005C3334" w:rsidRDefault="005C3334" w:rsidP="00712E2F">
            <w:pPr>
              <w:spacing w:line="360" w:lineRule="auto"/>
              <w:jc w:val="center"/>
              <w:rPr>
                <w:rFonts w:ascii="宋体" w:hAnsi="宋体" w:cs="宋体" w:hint="eastAsia"/>
                <w:bCs/>
              </w:rPr>
            </w:pPr>
            <w:r>
              <w:rPr>
                <w:rFonts w:ascii="宋体" w:hAnsi="宋体" w:cs="宋体" w:hint="eastAsia"/>
                <w:bCs/>
              </w:rPr>
              <w:t>失控诱因</w:t>
            </w:r>
          </w:p>
        </w:tc>
        <w:tc>
          <w:tcPr>
            <w:tcW w:w="4815" w:type="dxa"/>
            <w:gridSpan w:val="2"/>
          </w:tcPr>
          <w:p w14:paraId="6FA682EC" w14:textId="77777777" w:rsidR="005C3334" w:rsidRDefault="005C3334" w:rsidP="00712E2F">
            <w:pPr>
              <w:spacing w:line="360" w:lineRule="auto"/>
              <w:jc w:val="center"/>
              <w:rPr>
                <w:rFonts w:ascii="宋体" w:hAnsi="宋体" w:cs="宋体" w:hint="eastAsia"/>
                <w:bCs/>
              </w:rPr>
            </w:pPr>
            <w:r>
              <w:rPr>
                <w:rFonts w:ascii="宋体" w:hAnsi="宋体" w:cs="宋体" w:hint="eastAsia"/>
                <w:bCs/>
              </w:rPr>
              <w:t>风险控制措施</w:t>
            </w:r>
          </w:p>
        </w:tc>
      </w:tr>
      <w:tr w:rsidR="005C3334" w14:paraId="4C1806B0" w14:textId="77777777" w:rsidTr="00712E2F">
        <w:trPr>
          <w:jc w:val="center"/>
        </w:trPr>
        <w:tc>
          <w:tcPr>
            <w:tcW w:w="750" w:type="dxa"/>
            <w:vAlign w:val="center"/>
          </w:tcPr>
          <w:p w14:paraId="3B7DEF98" w14:textId="77777777" w:rsidR="005C3334" w:rsidRPr="001545F3" w:rsidRDefault="005C3334" w:rsidP="00712E2F">
            <w:pPr>
              <w:spacing w:line="360" w:lineRule="auto"/>
              <w:jc w:val="center"/>
              <w:rPr>
                <w:rFonts w:ascii="Times New Roman" w:hAnsi="Times New Roman"/>
                <w:bCs/>
              </w:rPr>
            </w:pPr>
            <w:r w:rsidRPr="001545F3">
              <w:rPr>
                <w:rFonts w:ascii="Times New Roman" w:hAnsi="Times New Roman"/>
                <w:bCs/>
              </w:rPr>
              <w:t>1</w:t>
            </w:r>
          </w:p>
        </w:tc>
        <w:tc>
          <w:tcPr>
            <w:tcW w:w="3780" w:type="dxa"/>
            <w:gridSpan w:val="2"/>
            <w:vAlign w:val="center"/>
          </w:tcPr>
          <w:p w14:paraId="695D62E6" w14:textId="77777777" w:rsidR="005C3334" w:rsidRDefault="005C3334" w:rsidP="00712E2F">
            <w:pPr>
              <w:rPr>
                <w:rFonts w:ascii="宋体" w:hAnsi="宋体" w:cs="宋体" w:hint="eastAsia"/>
                <w:bCs/>
              </w:rPr>
            </w:pPr>
            <w:r>
              <w:rPr>
                <w:rFonts w:ascii="宋体" w:hAnsi="宋体" w:cs="宋体" w:hint="eastAsia"/>
                <w:bCs/>
              </w:rPr>
              <w:t>贮氨器制造不良，导致焊缝泄漏。</w:t>
            </w:r>
          </w:p>
        </w:tc>
        <w:tc>
          <w:tcPr>
            <w:tcW w:w="4815" w:type="dxa"/>
            <w:gridSpan w:val="2"/>
          </w:tcPr>
          <w:p w14:paraId="3EA7F2BD" w14:textId="77777777" w:rsidR="005C3334" w:rsidRDefault="005C3334" w:rsidP="00712E2F">
            <w:pPr>
              <w:spacing w:line="360" w:lineRule="auto"/>
              <w:rPr>
                <w:rFonts w:ascii="宋体" w:hAnsi="宋体" w:cs="宋体" w:hint="eastAsia"/>
                <w:bCs/>
              </w:rPr>
            </w:pPr>
            <w:r>
              <w:rPr>
                <w:rFonts w:ascii="宋体" w:hAnsi="宋体" w:cs="宋体" w:hint="eastAsia"/>
                <w:bCs/>
              </w:rPr>
              <w:t>贮氨器应定期检测，并进行日常维护保养，形成维护保养记录。</w:t>
            </w:r>
          </w:p>
        </w:tc>
      </w:tr>
      <w:tr w:rsidR="005C3334" w14:paraId="0A7AAA58" w14:textId="77777777" w:rsidTr="00712E2F">
        <w:trPr>
          <w:jc w:val="center"/>
        </w:trPr>
        <w:tc>
          <w:tcPr>
            <w:tcW w:w="750" w:type="dxa"/>
            <w:vAlign w:val="center"/>
          </w:tcPr>
          <w:p w14:paraId="50C57975" w14:textId="77777777" w:rsidR="005C3334" w:rsidRPr="001545F3" w:rsidRDefault="005C3334" w:rsidP="00712E2F">
            <w:pPr>
              <w:spacing w:line="360" w:lineRule="auto"/>
              <w:jc w:val="center"/>
              <w:rPr>
                <w:rFonts w:ascii="Times New Roman" w:hAnsi="Times New Roman"/>
                <w:bCs/>
              </w:rPr>
            </w:pPr>
            <w:r w:rsidRPr="001545F3">
              <w:rPr>
                <w:rFonts w:ascii="Times New Roman" w:hAnsi="Times New Roman"/>
                <w:bCs/>
              </w:rPr>
              <w:t>2</w:t>
            </w:r>
          </w:p>
        </w:tc>
        <w:tc>
          <w:tcPr>
            <w:tcW w:w="3780" w:type="dxa"/>
            <w:gridSpan w:val="2"/>
            <w:vAlign w:val="center"/>
          </w:tcPr>
          <w:p w14:paraId="42D17072" w14:textId="77777777" w:rsidR="005C3334" w:rsidRDefault="005C3334" w:rsidP="00712E2F">
            <w:pPr>
              <w:rPr>
                <w:rFonts w:ascii="宋体" w:hAnsi="宋体" w:cs="宋体" w:hint="eastAsia"/>
                <w:bCs/>
              </w:rPr>
            </w:pPr>
            <w:r>
              <w:rPr>
                <w:rFonts w:ascii="宋体" w:hAnsi="宋体" w:cs="宋体" w:hint="eastAsia"/>
                <w:bCs/>
              </w:rPr>
              <w:t>……</w:t>
            </w:r>
          </w:p>
        </w:tc>
        <w:tc>
          <w:tcPr>
            <w:tcW w:w="4815" w:type="dxa"/>
            <w:gridSpan w:val="2"/>
          </w:tcPr>
          <w:p w14:paraId="77D39150" w14:textId="77777777" w:rsidR="005C3334" w:rsidRDefault="005C3334" w:rsidP="00712E2F">
            <w:pPr>
              <w:spacing w:line="360" w:lineRule="auto"/>
              <w:rPr>
                <w:rFonts w:ascii="宋体" w:hAnsi="宋体" w:cs="宋体" w:hint="eastAsia"/>
                <w:bCs/>
              </w:rPr>
            </w:pPr>
            <w:r>
              <w:rPr>
                <w:rFonts w:ascii="宋体" w:hAnsi="宋体" w:cs="宋体" w:hint="eastAsia"/>
                <w:bCs/>
              </w:rPr>
              <w:t>……</w:t>
            </w:r>
          </w:p>
        </w:tc>
      </w:tr>
    </w:tbl>
    <w:p w14:paraId="1EE5A43F" w14:textId="77777777" w:rsidR="005C3334" w:rsidRDefault="005C3334" w:rsidP="007A04DE">
      <w:pPr>
        <w:spacing w:before="93" w:line="340" w:lineRule="exact"/>
        <w:rPr>
          <w:rFonts w:ascii="宋体" w:hAnsi="宋体" w:cs="宋体" w:hint="eastAsia"/>
          <w:bCs/>
        </w:rPr>
      </w:pPr>
    </w:p>
    <w:p w14:paraId="6ADADA27" w14:textId="30B876E5" w:rsidR="005C3334" w:rsidRDefault="005C3334" w:rsidP="007A04DE">
      <w:pPr>
        <w:pStyle w:val="af5"/>
      </w:pPr>
      <w:r>
        <w:rPr>
          <w:rFonts w:hint="eastAsia"/>
        </w:rPr>
        <w:t>当构成重大危险源时，应进行定量风险分</w:t>
      </w:r>
      <w:r w:rsidRPr="001545F3">
        <w:rPr>
          <w:rFonts w:ascii="Times New Roman"/>
        </w:rPr>
        <w:t>析（</w:t>
      </w:r>
      <w:r w:rsidRPr="001545F3">
        <w:rPr>
          <w:rFonts w:ascii="Times New Roman"/>
        </w:rPr>
        <w:t>QRA</w:t>
      </w:r>
      <w:r w:rsidRPr="001545F3">
        <w:rPr>
          <w:rFonts w:ascii="Times New Roman"/>
        </w:rPr>
        <w:t>）</w:t>
      </w:r>
      <w:r>
        <w:rPr>
          <w:rFonts w:hint="eastAsia"/>
        </w:rPr>
        <w:t>。</w:t>
      </w:r>
    </w:p>
    <w:p w14:paraId="68EFFF21" w14:textId="75BEEF04" w:rsidR="005C3334" w:rsidRDefault="005C3334" w:rsidP="007A04DE">
      <w:pPr>
        <w:pStyle w:val="af5"/>
      </w:pPr>
      <w:r>
        <w:rPr>
          <w:rFonts w:hint="eastAsia"/>
        </w:rPr>
        <w:t>安全风险隐患清单及整改建议。</w:t>
      </w:r>
    </w:p>
    <w:p w14:paraId="5A1B83A8" w14:textId="7CFD4ED4" w:rsidR="005C3334" w:rsidRDefault="005C3334" w:rsidP="00EE0FA8">
      <w:pPr>
        <w:pStyle w:val="afffffffff1"/>
      </w:pPr>
      <w:r>
        <w:rPr>
          <w:rFonts w:hint="eastAsia"/>
        </w:rPr>
        <w:t>安全对策措施建议。</w:t>
      </w:r>
    </w:p>
    <w:p w14:paraId="6C96A8BC" w14:textId="389C480C" w:rsidR="005C3334" w:rsidRDefault="005C3334" w:rsidP="00EE0FA8">
      <w:pPr>
        <w:pStyle w:val="afffffffff1"/>
      </w:pPr>
      <w:r>
        <w:rPr>
          <w:rFonts w:hint="eastAsia"/>
        </w:rPr>
        <w:t>安全评价结果综述。</w:t>
      </w:r>
    </w:p>
    <w:p w14:paraId="6AD412EE" w14:textId="49D3EC43" w:rsidR="005C3334" w:rsidRDefault="005C3334" w:rsidP="00EE0FA8">
      <w:pPr>
        <w:pStyle w:val="afffffffff1"/>
      </w:pPr>
      <w:r>
        <w:rPr>
          <w:rFonts w:hint="eastAsia"/>
        </w:rPr>
        <w:t>安全评价报告附件。安全评价报告附件为对安全评价过程进行补充，以及为评价过程和结论提供佐证。应包括但不限于如下内容：</w:t>
      </w:r>
    </w:p>
    <w:p w14:paraId="64E71E2F" w14:textId="7526ADE9" w:rsidR="005C3334" w:rsidRDefault="005C3334" w:rsidP="00872B90">
      <w:pPr>
        <w:pStyle w:val="af5"/>
        <w:numPr>
          <w:ilvl w:val="0"/>
          <w:numId w:val="41"/>
        </w:numPr>
      </w:pPr>
      <w:r>
        <w:rPr>
          <w:rFonts w:hint="eastAsia"/>
        </w:rPr>
        <w:t>企业合规运营证明性材料，如营业执照、建筑消防验收文件等；</w:t>
      </w:r>
    </w:p>
    <w:p w14:paraId="117DD64E" w14:textId="702DBAE6" w:rsidR="005C3334" w:rsidRDefault="005C3334" w:rsidP="00EE0FA8">
      <w:pPr>
        <w:pStyle w:val="af5"/>
      </w:pPr>
      <w:r>
        <w:rPr>
          <w:rFonts w:hint="eastAsia"/>
        </w:rPr>
        <w:t>企业运营过程涉及的检验、检测、检定和校验合格证明材料；</w:t>
      </w:r>
    </w:p>
    <w:p w14:paraId="23933106" w14:textId="68808AA5" w:rsidR="005C3334" w:rsidRDefault="005C3334" w:rsidP="00EE0FA8">
      <w:pPr>
        <w:pStyle w:val="af5"/>
      </w:pPr>
      <w:r>
        <w:rPr>
          <w:rFonts w:hint="eastAsia"/>
        </w:rPr>
        <w:t>企业安全管理相关记录资料；</w:t>
      </w:r>
    </w:p>
    <w:p w14:paraId="60CC7FFB" w14:textId="64BF5093" w:rsidR="005C3334" w:rsidRDefault="005C3334" w:rsidP="00EE0FA8">
      <w:pPr>
        <w:pStyle w:val="af5"/>
      </w:pPr>
      <w:r>
        <w:rPr>
          <w:rFonts w:hint="eastAsia"/>
        </w:rPr>
        <w:t>企业提供的技术性资料；</w:t>
      </w:r>
    </w:p>
    <w:p w14:paraId="2056A0FE" w14:textId="2EBDEBE1" w:rsidR="005C3334" w:rsidRDefault="005C3334" w:rsidP="00EE0FA8">
      <w:pPr>
        <w:pStyle w:val="af5"/>
      </w:pPr>
      <w:r>
        <w:rPr>
          <w:rFonts w:hint="eastAsia"/>
        </w:rPr>
        <w:t>危险源与风险控制措施关系表；</w:t>
      </w:r>
    </w:p>
    <w:p w14:paraId="366AFDD3" w14:textId="68B78327" w:rsidR="005C3334" w:rsidRDefault="005C3334" w:rsidP="00EE0FA8">
      <w:pPr>
        <w:pStyle w:val="af5"/>
      </w:pPr>
      <w:r>
        <w:rPr>
          <w:rFonts w:hint="eastAsia"/>
        </w:rPr>
        <w:t>其他用于佐证评价结论的资料等。</w:t>
      </w:r>
    </w:p>
    <w:p w14:paraId="4198616B" w14:textId="77777777" w:rsidR="005C3334" w:rsidRDefault="005C3334" w:rsidP="005C3334">
      <w:pPr>
        <w:pStyle w:val="3"/>
        <w:spacing w:beforeLines="50" w:before="120" w:afterLines="50" w:after="120" w:line="360" w:lineRule="auto"/>
        <w:rPr>
          <w:rFonts w:ascii="黑体" w:eastAsia="黑体" w:hAnsi="黑体" w:cs="黑体" w:hint="eastAsia"/>
          <w:b w:val="0"/>
          <w:bCs w:val="0"/>
          <w:sz w:val="21"/>
          <w:szCs w:val="21"/>
        </w:rPr>
      </w:pPr>
      <w:bookmarkStart w:id="165" w:name="_Toc13057"/>
      <w:proofErr w:type="gramStart"/>
      <w:r>
        <w:rPr>
          <w:rFonts w:ascii="黑体" w:eastAsia="黑体" w:hAnsi="黑体" w:cs="黑体" w:hint="eastAsia"/>
          <w:b w:val="0"/>
          <w:bCs w:val="0"/>
          <w:sz w:val="21"/>
          <w:szCs w:val="21"/>
        </w:rPr>
        <w:t xml:space="preserve">6.3 </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报告格式</w:t>
      </w:r>
      <w:bookmarkEnd w:id="165"/>
      <w:proofErr w:type="gramEnd"/>
    </w:p>
    <w:p w14:paraId="0DDE1094" w14:textId="77777777" w:rsidR="005C3334" w:rsidRDefault="005C3334" w:rsidP="005C3334">
      <w:pPr>
        <w:spacing w:before="93" w:line="340" w:lineRule="exact"/>
        <w:ind w:firstLineChars="200" w:firstLine="420"/>
        <w:rPr>
          <w:rFonts w:ascii="宋体" w:hAnsi="宋体" w:cs="宋体" w:hint="eastAsia"/>
          <w:bCs/>
        </w:rPr>
      </w:pPr>
      <w:r>
        <w:rPr>
          <w:rFonts w:ascii="宋体" w:hAnsi="宋体" w:cs="宋体" w:hint="eastAsia"/>
          <w:bCs/>
        </w:rPr>
        <w:t>安全评价报告的格式应符</w:t>
      </w:r>
      <w:r w:rsidRPr="001545F3">
        <w:rPr>
          <w:rFonts w:ascii="Times New Roman" w:hAnsi="Times New Roman"/>
          <w:bCs/>
        </w:rPr>
        <w:t>合</w:t>
      </w:r>
      <w:r w:rsidRPr="001545F3">
        <w:rPr>
          <w:rFonts w:ascii="Times New Roman" w:hAnsi="Times New Roman"/>
          <w:bCs/>
        </w:rPr>
        <w:t>AQ 8001</w:t>
      </w:r>
      <w:r w:rsidRPr="001545F3">
        <w:rPr>
          <w:rFonts w:ascii="Times New Roman" w:hAnsi="Times New Roman"/>
          <w:bCs/>
        </w:rPr>
        <w:t>的</w:t>
      </w:r>
      <w:r>
        <w:rPr>
          <w:rFonts w:ascii="宋体" w:hAnsi="宋体" w:cs="宋体" w:hint="eastAsia"/>
          <w:bCs/>
        </w:rPr>
        <w:t>规定。</w:t>
      </w:r>
    </w:p>
    <w:p w14:paraId="430A68E8" w14:textId="77777777" w:rsidR="002A1260" w:rsidRPr="005C3334" w:rsidRDefault="002A1260" w:rsidP="00653FED">
      <w:pPr>
        <w:pStyle w:val="affffb"/>
        <w:ind w:firstLine="420"/>
      </w:pPr>
    </w:p>
    <w:p w14:paraId="01675677" w14:textId="77777777" w:rsidR="001D212F" w:rsidRDefault="001D212F" w:rsidP="00E60C63">
      <w:pPr>
        <w:pStyle w:val="affffb"/>
        <w:ind w:firstLine="420"/>
      </w:pPr>
    </w:p>
    <w:p w14:paraId="746CBFF6" w14:textId="77777777" w:rsidR="007A5D3A" w:rsidRDefault="007A5D3A" w:rsidP="007A5D3A">
      <w:pPr>
        <w:pStyle w:val="affffb"/>
        <w:ind w:firstLine="420"/>
      </w:pPr>
    </w:p>
    <w:p w14:paraId="0B0D2B12" w14:textId="0C16B770" w:rsidR="003E019F" w:rsidRDefault="00EE0FA8" w:rsidP="00EE0FA8">
      <w:pPr>
        <w:pStyle w:val="affffb"/>
        <w:ind w:firstLineChars="0" w:firstLine="0"/>
        <w:jc w:val="center"/>
      </w:pPr>
      <w:bookmarkStart w:id="166" w:name="BookMark8"/>
      <w:bookmarkEnd w:id="26"/>
      <w:r>
        <w:drawing>
          <wp:inline distT="0" distB="0" distL="0" distR="0" wp14:anchorId="5E880732" wp14:editId="1E77F766">
            <wp:extent cx="1485900" cy="317500"/>
            <wp:effectExtent l="0" t="0" r="0" b="6350"/>
            <wp:docPr id="222583902" name="图片 1"/>
            <wp:cNvGraphicFramePr/>
            <a:graphic xmlns:a="http://schemas.openxmlformats.org/drawingml/2006/main">
              <a:graphicData uri="http://schemas.openxmlformats.org/drawingml/2006/picture">
                <pic:pic xmlns:pic="http://schemas.openxmlformats.org/drawingml/2006/picture">
                  <pic:nvPicPr>
                    <pic:cNvPr id="222583902"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6"/>
    </w:p>
    <w:sectPr w:rsidR="003E019F" w:rsidSect="00AA4ED2">
      <w:headerReference w:type="even" r:id="rId27"/>
      <w:headerReference w:type="default" r:id="rId28"/>
      <w:footerReference w:type="even" r:id="rId29"/>
      <w:footerReference w:type="default" r:id="rId30"/>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74B1" w14:textId="77777777" w:rsidR="00540C98" w:rsidRDefault="00540C98" w:rsidP="00D86DB7">
      <w:r>
        <w:separator/>
      </w:r>
    </w:p>
    <w:p w14:paraId="3752929A" w14:textId="77777777" w:rsidR="00540C98" w:rsidRDefault="00540C98"/>
    <w:p w14:paraId="75CEF1CA" w14:textId="77777777" w:rsidR="00540C98" w:rsidRDefault="00540C98"/>
  </w:endnote>
  <w:endnote w:type="continuationSeparator" w:id="0">
    <w:p w14:paraId="783A6795" w14:textId="77777777" w:rsidR="00540C98" w:rsidRDefault="00540C98" w:rsidP="00D86DB7">
      <w:r>
        <w:continuationSeparator/>
      </w:r>
    </w:p>
    <w:p w14:paraId="73A4CA0B" w14:textId="77777777" w:rsidR="00540C98" w:rsidRDefault="00540C98"/>
    <w:p w14:paraId="13E7FF36" w14:textId="77777777" w:rsidR="00540C98" w:rsidRDefault="00540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1DF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8E57" w14:textId="4D3CEF05" w:rsidR="00AA4ED2" w:rsidRPr="00AA4ED2" w:rsidRDefault="00AA4ED2" w:rsidP="00AA4ED2">
    <w:pPr>
      <w:pStyle w:val="affff7"/>
    </w:pPr>
    <w:r>
      <w:fldChar w:fldCharType="begin"/>
    </w:r>
    <w:r>
      <w:instrText xml:space="preserve"> PAGE   \* MERGEFORMAT \* MERGEFORMAT </w:instrText>
    </w:r>
    <w:r>
      <w:fldChar w:fldCharType="separate"/>
    </w:r>
    <w:r>
      <w:rPr>
        <w:noProof/>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677B" w14:textId="77777777" w:rsidR="00AA4ED2" w:rsidRDefault="00AA4ED2" w:rsidP="00AA4ED2">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3773"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89F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D6BF" w14:textId="2FA41281" w:rsidR="00AA4ED2" w:rsidRPr="00AA4ED2" w:rsidRDefault="00AA4ED2" w:rsidP="00AA4ED2">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9638" w14:textId="77777777" w:rsidR="000C57D6" w:rsidRDefault="000C57D6" w:rsidP="00AA4ED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64A8" w14:textId="7AF2298D" w:rsidR="00AA4ED2" w:rsidRPr="00AA4ED2" w:rsidRDefault="00AA4ED2" w:rsidP="00AA4ED2">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3BA1" w14:textId="77777777" w:rsidR="00AA4ED2" w:rsidRDefault="00AA4ED2" w:rsidP="00AA4ED2">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906D" w14:textId="034B1582" w:rsidR="00AA4ED2" w:rsidRPr="00AA4ED2" w:rsidRDefault="00AA4ED2" w:rsidP="00AA4ED2">
    <w:pPr>
      <w:pStyle w:val="affff7"/>
    </w:pPr>
    <w:r>
      <w:fldChar w:fldCharType="begin"/>
    </w:r>
    <w:r>
      <w:instrText xml:space="preserve"> PAGE   \* MERGEFORMAT \* MERGEFORMAT </w:instrText>
    </w:r>
    <w:r>
      <w:fldChar w:fldCharType="separate"/>
    </w:r>
    <w:r>
      <w:rPr>
        <w:noProof/>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3D98" w14:textId="77777777" w:rsidR="00AA4ED2" w:rsidRDefault="00AA4ED2" w:rsidP="00AA4ED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8E87" w14:textId="77777777" w:rsidR="00540C98" w:rsidRDefault="00540C98" w:rsidP="00D86DB7">
      <w:r>
        <w:separator/>
      </w:r>
    </w:p>
  </w:footnote>
  <w:footnote w:type="continuationSeparator" w:id="0">
    <w:p w14:paraId="137F1690" w14:textId="77777777" w:rsidR="00540C98" w:rsidRDefault="00540C98" w:rsidP="00D86DB7">
      <w:r>
        <w:continuationSeparator/>
      </w:r>
    </w:p>
    <w:p w14:paraId="0D91445E" w14:textId="77777777" w:rsidR="00540C98" w:rsidRDefault="00540C98"/>
    <w:p w14:paraId="18F88A84" w14:textId="77777777" w:rsidR="00540C98" w:rsidRDefault="00540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6197"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D2468" w14:textId="7A8E628A" w:rsidR="00AA4ED2" w:rsidRPr="00AA4ED2" w:rsidRDefault="00AA4ED2" w:rsidP="00AA4ED2">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6B4BDA">
      <w:rPr>
        <w:rFonts w:hint="eastAsia"/>
      </w:rPr>
      <w:t>T/XXX XXXX—XXXX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1A6E" w14:textId="0EE0825A" w:rsidR="00AA4ED2" w:rsidRPr="00D84FA1" w:rsidRDefault="00AA4ED2" w:rsidP="00AA4ED2">
    <w:pPr>
      <w:pStyle w:val="afffff0"/>
      <w:rPr>
        <w:rFonts w:hint="eastAsia"/>
      </w:rPr>
    </w:pPr>
    <w:r>
      <w:fldChar w:fldCharType="begin"/>
    </w:r>
    <w:r>
      <w:instrText xml:space="preserve"> STYLEREF  标准文件_文件编号  \* MERGEFORMAT </w:instrText>
    </w:r>
    <w:r>
      <w:fldChar w:fldCharType="separate"/>
    </w:r>
    <w:r w:rsidR="006B4BDA">
      <w:rPr>
        <w:rFonts w:hint="eastAsia"/>
      </w:rPr>
      <w:t>T/XXX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505B"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F0B3"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6B9B" w14:textId="5D6E90D2" w:rsidR="00714F58" w:rsidRPr="00AA4ED2" w:rsidRDefault="00AA4ED2" w:rsidP="00AA4ED2">
    <w:pPr>
      <w:pStyle w:val="afffff1"/>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AC5C" w14:textId="07DF9660" w:rsidR="00D84FA1" w:rsidRPr="00D84FA1" w:rsidRDefault="00D84FA1" w:rsidP="00AA4ED2">
    <w:pPr>
      <w:pStyle w:val="afffff0"/>
      <w:rPr>
        <w:rFonts w:hint="eastAsia"/>
      </w:rPr>
    </w:pPr>
    <w:r>
      <w:fldChar w:fldCharType="begin"/>
    </w:r>
    <w:r>
      <w:instrText xml:space="preserve"> STYLEREF  标准文件_文件编号  \* MERGEFORMAT </w:instrText>
    </w:r>
    <w:r>
      <w:fldChar w:fldCharType="separate"/>
    </w:r>
    <w:r w:rsidR="006B4BDA">
      <w:rPr>
        <w:rFonts w:hint="eastAsia"/>
      </w:rPr>
      <w:t>T/XXX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583E" w14:textId="0BDED2FF" w:rsidR="00AA4ED2" w:rsidRPr="00AA4ED2" w:rsidRDefault="00AA4ED2" w:rsidP="00AA4ED2">
    <w:pPr>
      <w:pStyle w:val="afffff1"/>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6B4BDA">
      <w:rPr>
        <w:rFonts w:hint="eastAsia"/>
      </w:rPr>
      <w:t>T/XXX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1E60" w14:textId="4A7799A5" w:rsidR="00AA4ED2" w:rsidRPr="00D84FA1" w:rsidRDefault="00AA4ED2" w:rsidP="00AA4ED2">
    <w:pPr>
      <w:pStyle w:val="afffff0"/>
      <w:rPr>
        <w:rFonts w:hint="eastAsia"/>
      </w:rPr>
    </w:pPr>
    <w:r>
      <w:fldChar w:fldCharType="begin"/>
    </w:r>
    <w:r>
      <w:instrText xml:space="preserve"> STYLEREF  标准文件_文件编号  \* MERGEFORMAT </w:instrText>
    </w:r>
    <w:r>
      <w:fldChar w:fldCharType="separate"/>
    </w:r>
    <w:r>
      <w:rPr>
        <w:rFonts w:hint="eastAsia"/>
      </w:rPr>
      <w:t>T/XXX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2628" w14:textId="0B49865B" w:rsidR="00AA4ED2" w:rsidRPr="00AA4ED2" w:rsidRDefault="00AA4ED2" w:rsidP="00AA4ED2">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T/XXX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F396" w14:textId="1B77E76C" w:rsidR="00AA4ED2" w:rsidRPr="00D84FA1" w:rsidRDefault="00AA4ED2" w:rsidP="00AA4ED2">
    <w:pPr>
      <w:pStyle w:val="afffff0"/>
      <w:rPr>
        <w:rFonts w:hint="eastAsia"/>
      </w:rPr>
    </w:pPr>
    <w:r>
      <w:fldChar w:fldCharType="begin"/>
    </w:r>
    <w:r>
      <w:instrText xml:space="preserve"> STYLEREF  标准文件_文件编号  \* MERGEFORMAT </w:instrText>
    </w:r>
    <w:r>
      <w:fldChar w:fldCharType="separate"/>
    </w:r>
    <w:r w:rsidR="006B4BDA">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D876A55C"/>
    <w:lvl w:ilvl="0">
      <w:start w:val="1"/>
      <w:numFmt w:val="lowerLetter"/>
      <w:pStyle w:val="af5"/>
      <w:lvlText w:val="%1)"/>
      <w:lvlJc w:val="left"/>
      <w:pPr>
        <w:tabs>
          <w:tab w:val="num"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1156846770">
    <w:abstractNumId w:val="30"/>
  </w:num>
  <w:num w:numId="28" w16cid:durableId="182406895">
    <w:abstractNumId w:val="27"/>
  </w:num>
  <w:num w:numId="29" w16cid:durableId="1463957243">
    <w:abstractNumId w:val="26"/>
  </w:num>
  <w:num w:numId="30" w16cid:durableId="1117796700">
    <w:abstractNumId w:val="1"/>
  </w:num>
  <w:num w:numId="31" w16cid:durableId="991560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362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4491730">
    <w:abstractNumId w:val="12"/>
  </w:num>
  <w:num w:numId="34" w16cid:durableId="1932272223">
    <w:abstractNumId w:val="12"/>
  </w:num>
  <w:num w:numId="35" w16cid:durableId="972444026">
    <w:abstractNumId w:val="12"/>
  </w:num>
  <w:num w:numId="36" w16cid:durableId="87169577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41353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8040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945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4210514">
    <w:abstractNumId w:val="12"/>
  </w:num>
  <w:num w:numId="41" w16cid:durableId="2117865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F30"/>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B2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5F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9A2"/>
    <w:rsid w:val="00336C64"/>
    <w:rsid w:val="00337162"/>
    <w:rsid w:val="0034194F"/>
    <w:rsid w:val="00344605"/>
    <w:rsid w:val="003474AA"/>
    <w:rsid w:val="00347FC3"/>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9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038"/>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C98"/>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3334"/>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843"/>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BDA"/>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26C"/>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4DE"/>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B3F"/>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B9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B01"/>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8E5"/>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5C3"/>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ED2"/>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B1A"/>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09A"/>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D47"/>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0FA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C391"/>
  <w15:docId w15:val="{7DDB556B-2E45-49F1-83D7-D30522EE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qFormat/>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8"/>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40"/>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40"/>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0"/>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7"/>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0"/>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0"/>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0"/>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0"/>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29"/>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40"/>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11">
    <w:name w:val="index 1"/>
    <w:basedOn w:val="afff5"/>
    <w:next w:val="afff5"/>
    <w:qFormat/>
    <w:rsid w:val="005C3334"/>
    <w:pPr>
      <w:widowControl/>
      <w:adjustRightInd/>
      <w:spacing w:after="160" w:line="278" w:lineRule="auto"/>
      <w:jc w:val="center"/>
    </w:pPr>
    <w:rPr>
      <w:rFonts w:ascii="宋体" w:hAnsi="宋体"/>
      <w:kern w:val="0"/>
      <w:sz w:val="24"/>
      <w:szCs w:val="24"/>
    </w:rPr>
  </w:style>
  <w:style w:type="paragraph" w:customStyle="1" w:styleId="xl34">
    <w:name w:val="xl34"/>
    <w:basedOn w:val="afff5"/>
    <w:qFormat/>
    <w:rsid w:val="005C3334"/>
    <w:pPr>
      <w:widowControl/>
      <w:pBdr>
        <w:left w:val="single" w:sz="4" w:space="0" w:color="auto"/>
        <w:bottom w:val="single" w:sz="4" w:space="0" w:color="auto"/>
        <w:right w:val="single" w:sz="4" w:space="0" w:color="auto"/>
      </w:pBdr>
      <w:adjustRightInd/>
      <w:spacing w:before="100" w:beforeAutospacing="1" w:after="100" w:afterAutospacing="1" w:line="278" w:lineRule="auto"/>
      <w:jc w:val="center"/>
    </w:pPr>
    <w:rPr>
      <w:rFonts w:ascii="DFKai-SB" w:eastAsia="DFKai-SB" w:hAnsi="Times New Roman" w:hint="eastAsia"/>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5B5DCE6B224DC2B7B112815FE7E43B"/>
        <w:category>
          <w:name w:val="常规"/>
          <w:gallery w:val="placeholder"/>
        </w:category>
        <w:types>
          <w:type w:val="bbPlcHdr"/>
        </w:types>
        <w:behaviors>
          <w:behavior w:val="content"/>
        </w:behaviors>
        <w:guid w:val="{70463385-0B20-4707-88C8-2DBBD589D5D6}"/>
      </w:docPartPr>
      <w:docPartBody>
        <w:p w:rsidR="000B4883" w:rsidRDefault="00F273B9">
          <w:pPr>
            <w:pStyle w:val="B65B5DCE6B224DC2B7B112815FE7E43B"/>
            <w:rPr>
              <w:rFonts w:hint="eastAsia"/>
            </w:rPr>
          </w:pPr>
          <w:r w:rsidRPr="00751A05">
            <w:rPr>
              <w:rStyle w:val="a3"/>
              <w:rFonts w:hint="eastAsia"/>
            </w:rPr>
            <w:t>单击或点击此处输入文字。</w:t>
          </w:r>
        </w:p>
      </w:docPartBody>
    </w:docPart>
    <w:docPart>
      <w:docPartPr>
        <w:name w:val="AA1A8DA16C3840929C9E55BF387E7D51"/>
        <w:category>
          <w:name w:val="常规"/>
          <w:gallery w:val="placeholder"/>
        </w:category>
        <w:types>
          <w:type w:val="bbPlcHdr"/>
        </w:types>
        <w:behaviors>
          <w:behavior w:val="content"/>
        </w:behaviors>
        <w:guid w:val="{060B046E-D2D1-4EEF-924B-88C1B7461D95}"/>
      </w:docPartPr>
      <w:docPartBody>
        <w:p w:rsidR="000B4883" w:rsidRDefault="00F273B9">
          <w:pPr>
            <w:pStyle w:val="AA1A8DA16C3840929C9E55BF387E7D51"/>
            <w:rPr>
              <w:rFonts w:hint="eastAsia"/>
            </w:rPr>
          </w:pPr>
          <w:r w:rsidRPr="00FB6243">
            <w:rPr>
              <w:rStyle w:val="a3"/>
              <w:rFonts w:hint="eastAsia"/>
            </w:rPr>
            <w:t>选择一项。</w:t>
          </w:r>
        </w:p>
      </w:docPartBody>
    </w:docPart>
    <w:docPart>
      <w:docPartPr>
        <w:name w:val="9AE24055721448C692A1406CD64FC502"/>
        <w:category>
          <w:name w:val="常规"/>
          <w:gallery w:val="placeholder"/>
        </w:category>
        <w:types>
          <w:type w:val="bbPlcHdr"/>
        </w:types>
        <w:behaviors>
          <w:behavior w:val="content"/>
        </w:behaviors>
        <w:guid w:val="{F787C0E7-0253-4B3F-A22A-9F62C9801B17}"/>
      </w:docPartPr>
      <w:docPartBody>
        <w:p w:rsidR="000B4883" w:rsidRDefault="00F273B9">
          <w:pPr>
            <w:pStyle w:val="9AE24055721448C692A1406CD64FC50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default"/>
    <w:sig w:usb0="00000000" w:usb1="0000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5"/>
    <w:rsid w:val="00050F30"/>
    <w:rsid w:val="000B4883"/>
    <w:rsid w:val="003369A2"/>
    <w:rsid w:val="005D21BC"/>
    <w:rsid w:val="00C4409A"/>
    <w:rsid w:val="00D26955"/>
    <w:rsid w:val="00D64D8B"/>
    <w:rsid w:val="00F2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65B5DCE6B224DC2B7B112815FE7E43B">
    <w:name w:val="B65B5DCE6B224DC2B7B112815FE7E43B"/>
    <w:pPr>
      <w:widowControl w:val="0"/>
    </w:pPr>
  </w:style>
  <w:style w:type="paragraph" w:customStyle="1" w:styleId="AA1A8DA16C3840929C9E55BF387E7D51">
    <w:name w:val="AA1A8DA16C3840929C9E55BF387E7D51"/>
    <w:pPr>
      <w:widowControl w:val="0"/>
    </w:pPr>
  </w:style>
  <w:style w:type="paragraph" w:customStyle="1" w:styleId="9AE24055721448C692A1406CD64FC502">
    <w:name w:val="9AE24055721448C692A1406CD64FC50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107</TotalTime>
  <Pages>13</Pages>
  <Words>995</Words>
  <Characters>5672</Characters>
  <Application>Microsoft Office Word</Application>
  <DocSecurity>0</DocSecurity>
  <Lines>47</Lines>
  <Paragraphs>13</Paragraphs>
  <ScaleCrop>false</ScaleCrop>
  <Company>PCMI</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Zhou</dc:creator>
  <cp:keywords/>
  <dc:description>&lt;config cover="true" show_menu="true" version="1.0.0" doctype="SDKXY"&gt;_x000d_
&lt;/config&gt;</dc:description>
  <cp:lastModifiedBy>ChunSheng Zhou</cp:lastModifiedBy>
  <cp:revision>8</cp:revision>
  <cp:lastPrinted>2021-02-02T08:22:00Z</cp:lastPrinted>
  <dcterms:created xsi:type="dcterms:W3CDTF">2025-09-03T07:07:00Z</dcterms:created>
  <dcterms:modified xsi:type="dcterms:W3CDTF">2025-09-04T06:30:00Z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