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D820" w14:textId="77777777" w:rsidR="0048503D" w:rsidRDefault="0048503D">
      <w:pPr>
        <w:spacing w:line="360" w:lineRule="auto"/>
        <w:rPr>
          <w:rFonts w:ascii="黑体" w:eastAsia="黑体" w:hAnsi="黑体" w:hint="eastAsia"/>
          <w:sz w:val="32"/>
          <w:szCs w:val="32"/>
        </w:rPr>
      </w:pPr>
    </w:p>
    <w:p w14:paraId="286A986D" w14:textId="77777777" w:rsidR="0048503D" w:rsidRDefault="0048503D">
      <w:pPr>
        <w:spacing w:line="360" w:lineRule="auto"/>
        <w:rPr>
          <w:rFonts w:ascii="黑体" w:eastAsia="黑体" w:hAnsi="黑体" w:hint="eastAsia"/>
          <w:b/>
          <w:bCs/>
          <w:sz w:val="48"/>
          <w:szCs w:val="48"/>
        </w:rPr>
      </w:pPr>
    </w:p>
    <w:p w14:paraId="0D32E235" w14:textId="77777777" w:rsidR="0048503D" w:rsidRDefault="0048503D">
      <w:pPr>
        <w:spacing w:line="360" w:lineRule="auto"/>
        <w:jc w:val="center"/>
        <w:rPr>
          <w:rFonts w:ascii="黑体" w:eastAsia="黑体" w:hAnsi="黑体" w:hint="eastAsia"/>
          <w:b/>
          <w:bCs/>
          <w:sz w:val="44"/>
          <w:szCs w:val="44"/>
        </w:rPr>
      </w:pPr>
    </w:p>
    <w:p w14:paraId="0E6356E2" w14:textId="77777777" w:rsidR="0048503D" w:rsidRDefault="00000000">
      <w:pPr>
        <w:spacing w:line="360" w:lineRule="auto"/>
        <w:jc w:val="center"/>
        <w:rPr>
          <w:rFonts w:ascii="黑体" w:eastAsia="黑体" w:hAnsi="黑体" w:hint="eastAsia"/>
          <w:sz w:val="36"/>
          <w:szCs w:val="36"/>
        </w:rPr>
      </w:pPr>
      <w:r>
        <w:rPr>
          <w:rFonts w:ascii="黑体" w:eastAsia="黑体" w:hAnsi="黑体"/>
          <w:sz w:val="36"/>
          <w:szCs w:val="36"/>
        </w:rPr>
        <w:t>《</w:t>
      </w:r>
      <w:r>
        <w:rPr>
          <w:rFonts w:ascii="黑体" w:eastAsia="黑体" w:hAnsi="黑体" w:hint="eastAsia"/>
          <w:sz w:val="36"/>
          <w:szCs w:val="36"/>
        </w:rPr>
        <w:t>涉氨制冷企业安全现状评价导则</w:t>
      </w:r>
      <w:r>
        <w:rPr>
          <w:rFonts w:ascii="黑体" w:eastAsia="黑体" w:hAnsi="黑体"/>
          <w:sz w:val="36"/>
          <w:szCs w:val="36"/>
        </w:rPr>
        <w:t>》</w:t>
      </w:r>
    </w:p>
    <w:p w14:paraId="1408DF2A" w14:textId="77777777" w:rsidR="0048503D" w:rsidRDefault="00000000">
      <w:pPr>
        <w:spacing w:line="360" w:lineRule="auto"/>
        <w:jc w:val="center"/>
        <w:rPr>
          <w:rFonts w:ascii="黑体" w:eastAsia="黑体" w:hAnsi="黑体" w:hint="eastAsia"/>
          <w:sz w:val="36"/>
          <w:szCs w:val="36"/>
        </w:rPr>
      </w:pPr>
      <w:r>
        <w:rPr>
          <w:rFonts w:ascii="黑体" w:eastAsia="黑体" w:hAnsi="黑体" w:hint="eastAsia"/>
          <w:sz w:val="36"/>
          <w:szCs w:val="36"/>
        </w:rPr>
        <w:t>征求意见稿</w:t>
      </w:r>
    </w:p>
    <w:p w14:paraId="3366178A" w14:textId="77777777" w:rsidR="0048503D" w:rsidRDefault="0048503D">
      <w:pPr>
        <w:spacing w:line="360" w:lineRule="auto"/>
        <w:jc w:val="center"/>
        <w:rPr>
          <w:rFonts w:ascii="黑体" w:eastAsia="黑体" w:hAnsi="黑体" w:hint="eastAsia"/>
          <w:b/>
          <w:bCs/>
          <w:sz w:val="28"/>
          <w:szCs w:val="28"/>
        </w:rPr>
      </w:pPr>
    </w:p>
    <w:p w14:paraId="6EA1D555" w14:textId="77777777" w:rsidR="0048503D" w:rsidRDefault="0048503D">
      <w:pPr>
        <w:spacing w:line="360" w:lineRule="auto"/>
        <w:jc w:val="center"/>
        <w:rPr>
          <w:rFonts w:ascii="黑体" w:eastAsia="黑体" w:hAnsi="黑体" w:hint="eastAsia"/>
          <w:b/>
          <w:bCs/>
          <w:spacing w:val="52"/>
          <w:sz w:val="28"/>
          <w:szCs w:val="28"/>
        </w:rPr>
      </w:pPr>
    </w:p>
    <w:p w14:paraId="1E16DBDA" w14:textId="77777777" w:rsidR="0048503D" w:rsidRDefault="0048503D">
      <w:pPr>
        <w:spacing w:line="360" w:lineRule="auto"/>
        <w:jc w:val="center"/>
        <w:rPr>
          <w:rFonts w:ascii="黑体" w:eastAsia="黑体" w:hAnsi="黑体" w:hint="eastAsia"/>
          <w:b/>
          <w:bCs/>
          <w:spacing w:val="52"/>
          <w:sz w:val="28"/>
          <w:szCs w:val="28"/>
        </w:rPr>
      </w:pPr>
    </w:p>
    <w:p w14:paraId="518213AA" w14:textId="77777777" w:rsidR="0048503D" w:rsidRDefault="00000000">
      <w:pPr>
        <w:spacing w:line="360" w:lineRule="auto"/>
        <w:jc w:val="center"/>
        <w:outlineLvl w:val="1"/>
        <w:rPr>
          <w:rFonts w:ascii="黑体" w:eastAsia="黑体" w:hAnsi="黑体" w:hint="eastAsia"/>
          <w:b/>
          <w:bCs/>
          <w:spacing w:val="52"/>
          <w:sz w:val="48"/>
          <w:szCs w:val="48"/>
        </w:rPr>
      </w:pPr>
      <w:r>
        <w:rPr>
          <w:rFonts w:ascii="黑体" w:eastAsia="黑体" w:hAnsi="黑体"/>
          <w:b/>
          <w:bCs/>
          <w:spacing w:val="52"/>
          <w:sz w:val="48"/>
          <w:szCs w:val="48"/>
        </w:rPr>
        <w:t>编制说明</w:t>
      </w:r>
    </w:p>
    <w:p w14:paraId="06394F48" w14:textId="77777777" w:rsidR="0048503D" w:rsidRDefault="0048503D">
      <w:pPr>
        <w:spacing w:line="360" w:lineRule="auto"/>
        <w:jc w:val="center"/>
        <w:rPr>
          <w:rFonts w:ascii="黑体" w:eastAsia="黑体" w:hAnsi="黑体" w:hint="eastAsia"/>
          <w:b/>
          <w:bCs/>
          <w:sz w:val="28"/>
          <w:szCs w:val="28"/>
        </w:rPr>
      </w:pPr>
    </w:p>
    <w:p w14:paraId="5FA32D8F" w14:textId="77777777" w:rsidR="0048503D" w:rsidRDefault="0048503D">
      <w:pPr>
        <w:spacing w:line="360" w:lineRule="auto"/>
        <w:jc w:val="center"/>
        <w:rPr>
          <w:rFonts w:ascii="黑体" w:eastAsia="黑体" w:hAnsi="黑体" w:hint="eastAsia"/>
          <w:b/>
          <w:bCs/>
          <w:sz w:val="28"/>
          <w:szCs w:val="28"/>
        </w:rPr>
      </w:pPr>
    </w:p>
    <w:p w14:paraId="1217ADD4" w14:textId="77777777" w:rsidR="0048503D" w:rsidRDefault="0048503D">
      <w:pPr>
        <w:spacing w:line="360" w:lineRule="auto"/>
        <w:jc w:val="center"/>
        <w:rPr>
          <w:rFonts w:ascii="黑体" w:eastAsia="黑体" w:hAnsi="黑体" w:hint="eastAsia"/>
          <w:b/>
          <w:bCs/>
          <w:sz w:val="28"/>
          <w:szCs w:val="28"/>
        </w:rPr>
      </w:pPr>
    </w:p>
    <w:p w14:paraId="3174608E" w14:textId="77777777" w:rsidR="0048503D" w:rsidRDefault="0048503D">
      <w:pPr>
        <w:spacing w:line="360" w:lineRule="auto"/>
        <w:jc w:val="center"/>
        <w:rPr>
          <w:rFonts w:ascii="黑体" w:eastAsia="黑体" w:hAnsi="黑体" w:hint="eastAsia"/>
          <w:b/>
          <w:bCs/>
          <w:sz w:val="28"/>
          <w:szCs w:val="28"/>
        </w:rPr>
      </w:pPr>
    </w:p>
    <w:p w14:paraId="401DA1BC" w14:textId="77777777" w:rsidR="0048503D" w:rsidRDefault="0048503D" w:rsidP="00DD4AC3">
      <w:pPr>
        <w:spacing w:line="360" w:lineRule="auto"/>
        <w:rPr>
          <w:rFonts w:ascii="黑体" w:eastAsia="黑体" w:hAnsi="黑体" w:hint="eastAsia"/>
          <w:b/>
          <w:bCs/>
          <w:sz w:val="28"/>
          <w:szCs w:val="28"/>
        </w:rPr>
      </w:pPr>
    </w:p>
    <w:p w14:paraId="4BD276D9" w14:textId="77777777" w:rsidR="0048503D" w:rsidRDefault="0048503D">
      <w:pPr>
        <w:spacing w:line="360" w:lineRule="auto"/>
        <w:jc w:val="center"/>
        <w:rPr>
          <w:rFonts w:ascii="黑体" w:eastAsia="黑体" w:hAnsi="黑体" w:hint="eastAsia"/>
          <w:b/>
          <w:bCs/>
          <w:sz w:val="28"/>
          <w:szCs w:val="28"/>
        </w:rPr>
      </w:pPr>
    </w:p>
    <w:p w14:paraId="64263C98" w14:textId="77777777" w:rsidR="0048503D" w:rsidRDefault="0048503D">
      <w:pPr>
        <w:spacing w:line="360" w:lineRule="auto"/>
        <w:jc w:val="center"/>
        <w:rPr>
          <w:rFonts w:ascii="黑体" w:eastAsia="黑体" w:hAnsi="黑体" w:hint="eastAsia"/>
          <w:b/>
          <w:bCs/>
          <w:sz w:val="28"/>
          <w:szCs w:val="28"/>
        </w:rPr>
      </w:pPr>
    </w:p>
    <w:p w14:paraId="29EF844A" w14:textId="77777777" w:rsidR="0048503D" w:rsidRDefault="0048503D">
      <w:pPr>
        <w:spacing w:line="360" w:lineRule="auto"/>
        <w:jc w:val="center"/>
        <w:rPr>
          <w:rFonts w:ascii="黑体" w:eastAsia="黑体" w:hAnsi="黑体" w:hint="eastAsia"/>
          <w:b/>
          <w:bCs/>
          <w:sz w:val="28"/>
          <w:szCs w:val="28"/>
        </w:rPr>
      </w:pPr>
    </w:p>
    <w:p w14:paraId="64B2C207" w14:textId="77777777" w:rsidR="0048503D" w:rsidRDefault="0048503D">
      <w:pPr>
        <w:spacing w:line="360" w:lineRule="auto"/>
        <w:jc w:val="center"/>
        <w:rPr>
          <w:rFonts w:ascii="黑体" w:eastAsia="黑体" w:hAnsi="黑体" w:hint="eastAsia"/>
          <w:b/>
          <w:bCs/>
          <w:sz w:val="28"/>
          <w:szCs w:val="28"/>
        </w:rPr>
      </w:pPr>
    </w:p>
    <w:p w14:paraId="38CA7AC2" w14:textId="77777777" w:rsidR="0048503D" w:rsidRDefault="00000000">
      <w:pPr>
        <w:spacing w:line="360" w:lineRule="auto"/>
        <w:jc w:val="center"/>
        <w:rPr>
          <w:rFonts w:ascii="黑体" w:eastAsia="黑体" w:hAnsi="黑体" w:hint="eastAsia"/>
          <w:b/>
          <w:bCs/>
          <w:sz w:val="28"/>
          <w:szCs w:val="28"/>
        </w:rPr>
      </w:pPr>
      <w:r>
        <w:rPr>
          <w:rFonts w:ascii="黑体" w:eastAsia="黑体" w:hAnsi="黑体"/>
          <w:b/>
          <w:bCs/>
          <w:sz w:val="36"/>
          <w:szCs w:val="36"/>
        </w:rPr>
        <w:t>标准编制组</w:t>
      </w:r>
    </w:p>
    <w:p w14:paraId="63C7C90B" w14:textId="77777777" w:rsidR="0048503D" w:rsidRDefault="00000000">
      <w:pPr>
        <w:spacing w:line="360" w:lineRule="auto"/>
        <w:jc w:val="center"/>
        <w:rPr>
          <w:rFonts w:ascii="宋体" w:eastAsia="黑体" w:hAnsi="宋体" w:hint="eastAsia"/>
          <w:color w:val="000000"/>
          <w:sz w:val="36"/>
          <w:szCs w:val="36"/>
        </w:rPr>
      </w:pPr>
      <w:r>
        <w:rPr>
          <w:rFonts w:ascii="宋体" w:eastAsia="黑体" w:hAnsi="宋体"/>
          <w:color w:val="000000"/>
          <w:sz w:val="36"/>
          <w:szCs w:val="36"/>
        </w:rPr>
        <w:t>20</w:t>
      </w:r>
      <w:r>
        <w:rPr>
          <w:rFonts w:ascii="宋体" w:eastAsia="黑体" w:hAnsi="宋体" w:hint="eastAsia"/>
          <w:color w:val="000000"/>
          <w:sz w:val="36"/>
          <w:szCs w:val="36"/>
        </w:rPr>
        <w:t>25</w:t>
      </w:r>
      <w:r>
        <w:rPr>
          <w:rFonts w:ascii="宋体" w:eastAsia="黑体" w:hAnsi="宋体"/>
          <w:color w:val="000000"/>
          <w:sz w:val="36"/>
          <w:szCs w:val="36"/>
        </w:rPr>
        <w:t>年</w:t>
      </w:r>
      <w:r>
        <w:rPr>
          <w:rFonts w:ascii="宋体" w:eastAsia="黑体" w:hAnsi="宋体" w:hint="eastAsia"/>
          <w:color w:val="000000"/>
          <w:sz w:val="36"/>
          <w:szCs w:val="36"/>
        </w:rPr>
        <w:t>9</w:t>
      </w:r>
      <w:r>
        <w:rPr>
          <w:rFonts w:ascii="宋体" w:eastAsia="黑体" w:hAnsi="宋体"/>
          <w:color w:val="000000"/>
          <w:sz w:val="36"/>
          <w:szCs w:val="36"/>
        </w:rPr>
        <w:t>月</w:t>
      </w:r>
    </w:p>
    <w:p w14:paraId="2001A5F7" w14:textId="77777777" w:rsidR="0048503D" w:rsidRDefault="0048503D">
      <w:pPr>
        <w:spacing w:line="360" w:lineRule="auto"/>
        <w:jc w:val="center"/>
        <w:rPr>
          <w:rFonts w:ascii="Times New Roman" w:hAnsi="Times New Roman"/>
          <w:sz w:val="28"/>
          <w:szCs w:val="28"/>
        </w:rPr>
      </w:pPr>
    </w:p>
    <w:p w14:paraId="20800C63" w14:textId="77777777" w:rsidR="0048503D" w:rsidRDefault="00000000">
      <w:pPr>
        <w:widowControl/>
        <w:spacing w:line="360" w:lineRule="auto"/>
        <w:jc w:val="left"/>
        <w:rPr>
          <w:rFonts w:ascii="黑体" w:eastAsia="黑体" w:hAnsi="黑体" w:hint="eastAsia"/>
          <w:sz w:val="32"/>
          <w:szCs w:val="32"/>
        </w:rPr>
      </w:pPr>
      <w:r>
        <w:rPr>
          <w:rFonts w:ascii="黑体" w:eastAsia="黑体" w:hAnsi="黑体"/>
          <w:sz w:val="32"/>
          <w:szCs w:val="32"/>
        </w:rPr>
        <w:br w:type="page"/>
      </w:r>
    </w:p>
    <w:p w14:paraId="56A44463"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lastRenderedPageBreak/>
        <w:t>一、编制工作简况</w:t>
      </w:r>
    </w:p>
    <w:p w14:paraId="76E06706" w14:textId="77777777" w:rsidR="0048503D" w:rsidRDefault="00000000">
      <w:pPr>
        <w:spacing w:line="360" w:lineRule="auto"/>
        <w:rPr>
          <w:rFonts w:ascii="楷体_GB2312" w:eastAsia="楷体_GB2312" w:hint="eastAsia"/>
          <w:b/>
          <w:bCs/>
          <w:sz w:val="32"/>
          <w:szCs w:val="32"/>
        </w:rPr>
      </w:pPr>
      <w:r>
        <w:rPr>
          <w:rFonts w:ascii="楷体_GB2312" w:eastAsia="楷体_GB2312" w:hint="eastAsia"/>
          <w:b/>
          <w:bCs/>
          <w:sz w:val="32"/>
          <w:szCs w:val="32"/>
        </w:rPr>
        <w:t>（一）任务来源</w:t>
      </w:r>
    </w:p>
    <w:p w14:paraId="07469651"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当前，国家和浙江省均没有适用于危险化学品使用安全现状评价的导则或其他规范性文件，危险化学品使用的安全现状评价工作主要在《安全评价通则》（AQ8001-2007）框架下进行，《安全评价通则》（AQ8001-2007）内容简略，对安全评价过程只做概要性要求，关于安全现状评价的规定较少。安全评价机构在《安全评价通则》（AQ8001-2007）框架下实施安全评价行为，存在较大的随意性，如安全评价过程控制差异大，安全评价深度和内容受安全评价人员个人知识和经验习惯左右，容易出现重大疏漏，甚至虚假等。</w:t>
      </w:r>
    </w:p>
    <w:p w14:paraId="346E66E8" w14:textId="77777777" w:rsidR="0048503D" w:rsidRDefault="00000000">
      <w:pPr>
        <w:spacing w:line="360" w:lineRule="auto"/>
        <w:ind w:firstLineChars="200" w:firstLine="560"/>
        <w:rPr>
          <w:rFonts w:ascii="华文仿宋" w:eastAsia="华文仿宋" w:hAnsi="华文仿宋" w:cs="华文仿宋" w:hint="eastAsia"/>
          <w:sz w:val="24"/>
          <w:szCs w:val="24"/>
        </w:rPr>
      </w:pPr>
      <w:r>
        <w:rPr>
          <w:rFonts w:ascii="宋体" w:eastAsia="宋体" w:hAnsi="宋体" w:cs="宋体" w:hint="eastAsia"/>
          <w:sz w:val="28"/>
          <w:szCs w:val="28"/>
        </w:rPr>
        <w:t>为规范安全评价行为，减少安全评价过程重大疏漏和避免报告虚假，提升安全评价报告在安全生产中的技术指导作用，回归安全评价初心2024年</w:t>
      </w:r>
      <w:r>
        <w:rPr>
          <w:rFonts w:ascii="宋体" w:eastAsia="宋体" w:hAnsi="宋体" w:cs="宋体"/>
          <w:sz w:val="28"/>
          <w:szCs w:val="28"/>
        </w:rPr>
        <w:t>由</w:t>
      </w:r>
      <w:r>
        <w:rPr>
          <w:rFonts w:ascii="宋体" w:eastAsia="宋体" w:hAnsi="宋体" w:cs="宋体" w:hint="eastAsia"/>
          <w:sz w:val="28"/>
          <w:szCs w:val="28"/>
        </w:rPr>
        <w:t>宁波华东安全科技有限公司、宁波市应急管理局、浙江省应急管理科学研究院、宁波工程学院等</w:t>
      </w:r>
      <w:r>
        <w:rPr>
          <w:rFonts w:ascii="宋体" w:eastAsia="宋体" w:hAnsi="宋体" w:cs="宋体"/>
          <w:sz w:val="28"/>
          <w:szCs w:val="28"/>
        </w:rPr>
        <w:t>单位，</w:t>
      </w:r>
      <w:r>
        <w:rPr>
          <w:rFonts w:ascii="宋体" w:eastAsia="宋体" w:hAnsi="宋体" w:cs="宋体" w:hint="eastAsia"/>
          <w:sz w:val="28"/>
          <w:szCs w:val="28"/>
        </w:rPr>
        <w:t>联合</w:t>
      </w:r>
      <w:r>
        <w:rPr>
          <w:rFonts w:ascii="宋体" w:eastAsia="宋体" w:hAnsi="宋体" w:cs="宋体"/>
          <w:sz w:val="28"/>
          <w:szCs w:val="28"/>
        </w:rPr>
        <w:t>省内行业专家、部分评价</w:t>
      </w:r>
      <w:r>
        <w:rPr>
          <w:rFonts w:ascii="宋体" w:eastAsia="宋体" w:hAnsi="宋体" w:cs="宋体" w:hint="eastAsia"/>
          <w:sz w:val="28"/>
          <w:szCs w:val="28"/>
        </w:rPr>
        <w:t>机构起草</w:t>
      </w:r>
      <w:r>
        <w:rPr>
          <w:rFonts w:ascii="宋体" w:eastAsia="宋体" w:hAnsi="宋体" w:cs="宋体"/>
          <w:sz w:val="28"/>
          <w:szCs w:val="28"/>
        </w:rPr>
        <w:t>编制</w:t>
      </w:r>
      <w:r>
        <w:rPr>
          <w:rFonts w:ascii="宋体" w:eastAsia="宋体" w:hAnsi="宋体" w:cs="宋体" w:hint="eastAsia"/>
          <w:sz w:val="28"/>
          <w:szCs w:val="28"/>
        </w:rPr>
        <w:t>该团体标准</w:t>
      </w:r>
      <w:r>
        <w:rPr>
          <w:rFonts w:ascii="宋体" w:eastAsia="宋体" w:hAnsi="宋体" w:cs="宋体"/>
          <w:sz w:val="28"/>
          <w:szCs w:val="28"/>
        </w:rPr>
        <w:t>。</w:t>
      </w:r>
    </w:p>
    <w:p w14:paraId="19DD41F3" w14:textId="77777777" w:rsidR="0048503D" w:rsidRDefault="00000000">
      <w:pPr>
        <w:spacing w:line="360" w:lineRule="auto"/>
        <w:rPr>
          <w:rFonts w:ascii="楷体_GB2312" w:eastAsia="楷体_GB2312" w:hint="eastAsia"/>
          <w:b/>
          <w:bCs/>
          <w:sz w:val="32"/>
          <w:szCs w:val="32"/>
        </w:rPr>
      </w:pPr>
      <w:r>
        <w:rPr>
          <w:rFonts w:ascii="楷体_GB2312" w:eastAsia="楷体_GB2312" w:hint="eastAsia"/>
          <w:b/>
          <w:bCs/>
          <w:sz w:val="32"/>
          <w:szCs w:val="32"/>
        </w:rPr>
        <w:t>（二）起草单位</w:t>
      </w:r>
    </w:p>
    <w:p w14:paraId="707F0E3B" w14:textId="77777777" w:rsidR="0048503D" w:rsidRPr="00DD4AC3" w:rsidRDefault="00000000">
      <w:pPr>
        <w:spacing w:line="360" w:lineRule="auto"/>
        <w:ind w:firstLineChars="200" w:firstLine="560"/>
        <w:rPr>
          <w:rFonts w:ascii="宋体" w:eastAsia="宋体" w:hAnsi="宋体" w:cs="宋体" w:hint="eastAsia"/>
          <w:sz w:val="28"/>
          <w:szCs w:val="28"/>
        </w:rPr>
      </w:pPr>
      <w:r w:rsidRPr="00DD4AC3">
        <w:rPr>
          <w:rFonts w:ascii="宋体" w:eastAsia="宋体" w:hAnsi="宋体" w:cs="宋体" w:hint="eastAsia"/>
          <w:sz w:val="28"/>
          <w:szCs w:val="28"/>
        </w:rPr>
        <w:t>本规范起草单位为：宁波华东安全科技服务有限公司、舟山市应急管理局、浙江省应急管理科学研究院、宁波工程学院。</w:t>
      </w:r>
    </w:p>
    <w:p w14:paraId="0C01F1D6" w14:textId="77777777" w:rsidR="0048503D" w:rsidRPr="00DD4AC3" w:rsidRDefault="00000000">
      <w:pPr>
        <w:spacing w:line="360" w:lineRule="auto"/>
        <w:ind w:firstLineChars="200" w:firstLine="560"/>
        <w:rPr>
          <w:rFonts w:ascii="宋体" w:eastAsia="宋体" w:hAnsi="宋体" w:cs="宋体" w:hint="eastAsia"/>
          <w:b/>
          <w:bCs/>
          <w:sz w:val="28"/>
          <w:szCs w:val="28"/>
        </w:rPr>
      </w:pPr>
      <w:r w:rsidRPr="00DD4AC3">
        <w:rPr>
          <w:rFonts w:ascii="宋体" w:eastAsia="宋体" w:hAnsi="宋体" w:cs="宋体" w:hint="eastAsia"/>
          <w:sz w:val="28"/>
          <w:szCs w:val="28"/>
        </w:rPr>
        <w:t>本规范主要起草人：龚昉、徐欣、张均、张晓辉、许婵娟、唐雨婕、陈丽霞、娄和武、陈莺梅、黄辉。</w:t>
      </w:r>
    </w:p>
    <w:p w14:paraId="5837C8FD" w14:textId="77777777" w:rsidR="0048503D" w:rsidRDefault="00000000">
      <w:pPr>
        <w:spacing w:line="360" w:lineRule="auto"/>
        <w:rPr>
          <w:rFonts w:ascii="楷体_GB2312" w:eastAsia="楷体_GB2312" w:hint="eastAsia"/>
          <w:b/>
          <w:bCs/>
          <w:sz w:val="32"/>
          <w:szCs w:val="32"/>
        </w:rPr>
      </w:pPr>
      <w:r>
        <w:rPr>
          <w:rFonts w:ascii="楷体_GB2312" w:eastAsia="楷体_GB2312" w:hint="eastAsia"/>
          <w:b/>
          <w:bCs/>
          <w:sz w:val="32"/>
          <w:szCs w:val="32"/>
        </w:rPr>
        <w:t>（三）标准编制过程</w:t>
      </w:r>
    </w:p>
    <w:p w14:paraId="6F267736" w14:textId="54596FD0" w:rsidR="0048503D" w:rsidRDefault="00000000">
      <w:pPr>
        <w:spacing w:line="360" w:lineRule="auto"/>
        <w:rPr>
          <w:rFonts w:ascii="宋体" w:eastAsia="宋体" w:hAnsi="宋体" w:hint="eastAsia"/>
          <w:b/>
          <w:bCs/>
          <w:sz w:val="32"/>
          <w:szCs w:val="32"/>
        </w:rPr>
      </w:pPr>
      <w:r>
        <w:rPr>
          <w:rFonts w:ascii="宋体" w:eastAsia="宋体" w:hAnsi="宋体"/>
          <w:b/>
          <w:bCs/>
          <w:sz w:val="32"/>
          <w:szCs w:val="32"/>
        </w:rPr>
        <w:t>1.起草工作阶段</w:t>
      </w:r>
    </w:p>
    <w:p w14:paraId="4DAA3B2C"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根据标准起草任务安排，起草单位于2024年5月成立了标准编制起草工作组并召开启动会，明确工作组成员职责、工作计划和时间表。</w:t>
      </w:r>
    </w:p>
    <w:p w14:paraId="601E028D" w14:textId="383D84D0"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工作组收集并分析与本项目相关的国外先进标准、国家标准、行业标准等。搜集相关的科技成果文献、技术报告、专利信息、法律法规等，深入涉氨制冷企业进行行业内调研，工作组内部对草案进行多次讨论、修改和完善，形成一致意见，于2024年6月形成《</w:t>
      </w:r>
      <w:bookmarkStart w:id="0" w:name="_Toc144734883"/>
      <w:bookmarkStart w:id="1" w:name="_Toc8565"/>
      <w:bookmarkStart w:id="2" w:name="_Toc21348"/>
      <w:bookmarkStart w:id="3" w:name="_Toc3778"/>
      <w:bookmarkStart w:id="4" w:name="_Toc10166"/>
      <w:bookmarkStart w:id="5" w:name="_Toc3593"/>
      <w:r>
        <w:rPr>
          <w:rFonts w:ascii="宋体" w:eastAsia="宋体" w:hAnsi="宋体" w:cs="宋体" w:hint="eastAsia"/>
          <w:sz w:val="28"/>
          <w:szCs w:val="28"/>
        </w:rPr>
        <w:t>涉氨制冷企业安全现状评价</w:t>
      </w:r>
      <w:bookmarkEnd w:id="0"/>
      <w:bookmarkEnd w:id="1"/>
      <w:bookmarkEnd w:id="2"/>
      <w:bookmarkEnd w:id="3"/>
      <w:bookmarkEnd w:id="4"/>
      <w:r>
        <w:rPr>
          <w:rFonts w:ascii="宋体" w:eastAsia="宋体" w:hAnsi="宋体" w:cs="宋体" w:hint="eastAsia"/>
          <w:sz w:val="28"/>
          <w:szCs w:val="28"/>
        </w:rPr>
        <w:t>导则</w:t>
      </w:r>
      <w:bookmarkEnd w:id="5"/>
      <w:r>
        <w:rPr>
          <w:rFonts w:ascii="宋体" w:eastAsia="宋体" w:hAnsi="宋体" w:cs="宋体" w:hint="eastAsia"/>
          <w:sz w:val="28"/>
          <w:szCs w:val="28"/>
        </w:rPr>
        <w:t>》（</w:t>
      </w:r>
      <w:r w:rsidR="00DD4AC3">
        <w:rPr>
          <w:rFonts w:ascii="宋体" w:eastAsia="宋体" w:hAnsi="宋体" w:cs="宋体" w:hint="eastAsia"/>
          <w:sz w:val="28"/>
          <w:szCs w:val="28"/>
        </w:rPr>
        <w:t>工作讨论</w:t>
      </w:r>
      <w:r>
        <w:rPr>
          <w:rFonts w:ascii="宋体" w:eastAsia="宋体" w:hAnsi="宋体" w:cs="宋体" w:hint="eastAsia"/>
          <w:sz w:val="28"/>
          <w:szCs w:val="28"/>
        </w:rPr>
        <w:t>稿）。</w:t>
      </w:r>
    </w:p>
    <w:p w14:paraId="31B842A3" w14:textId="77777777" w:rsidR="0048503D" w:rsidRDefault="00000000">
      <w:pPr>
        <w:spacing w:line="360" w:lineRule="auto"/>
        <w:ind w:firstLineChars="100" w:firstLine="321"/>
        <w:rPr>
          <w:rFonts w:ascii="宋体" w:eastAsia="宋体" w:hAnsi="宋体" w:hint="eastAsia"/>
          <w:b/>
          <w:bCs/>
          <w:sz w:val="32"/>
          <w:szCs w:val="32"/>
        </w:rPr>
      </w:pPr>
      <w:r>
        <w:rPr>
          <w:rFonts w:ascii="宋体" w:eastAsia="宋体" w:hAnsi="宋体"/>
          <w:b/>
          <w:bCs/>
          <w:sz w:val="32"/>
          <w:szCs w:val="32"/>
        </w:rPr>
        <w:t>2.专家研讨、完善修改、形成征求意见稿</w:t>
      </w:r>
    </w:p>
    <w:p w14:paraId="060B5762" w14:textId="6E0D4E14" w:rsidR="0048503D" w:rsidRDefault="00000000">
      <w:pPr>
        <w:spacing w:line="360" w:lineRule="auto"/>
        <w:ind w:firstLineChars="100" w:firstLine="280"/>
        <w:rPr>
          <w:rFonts w:ascii="宋体" w:eastAsia="宋体" w:hAnsi="宋体" w:cs="宋体" w:hint="eastAsia"/>
          <w:sz w:val="28"/>
          <w:szCs w:val="28"/>
        </w:rPr>
      </w:pPr>
      <w:r>
        <w:rPr>
          <w:rFonts w:ascii="宋体" w:eastAsia="宋体" w:hAnsi="宋体" w:cs="宋体" w:hint="eastAsia"/>
          <w:sz w:val="28"/>
          <w:szCs w:val="28"/>
        </w:rPr>
        <w:t>在通过浙江省安全生产协会团体标准立项评审后，起草工作组再次进行调研，并于</w:t>
      </w:r>
      <w:r w:rsidR="00DD4AC3">
        <w:rPr>
          <w:rFonts w:ascii="宋体" w:eastAsia="宋体" w:hAnsi="宋体" w:cs="宋体" w:hint="eastAsia"/>
          <w:sz w:val="28"/>
          <w:szCs w:val="28"/>
        </w:rPr>
        <w:t>8</w:t>
      </w:r>
      <w:r>
        <w:rPr>
          <w:rFonts w:ascii="宋体" w:eastAsia="宋体" w:hAnsi="宋体" w:cs="宋体" w:hint="eastAsia"/>
          <w:sz w:val="28"/>
          <w:szCs w:val="28"/>
        </w:rPr>
        <w:t>月组织有关安全评价机构相关负责人对团体标准《涉氨制冷企业安全现状评价导则》（</w:t>
      </w:r>
      <w:r w:rsidR="00DD4AC3">
        <w:rPr>
          <w:rFonts w:ascii="宋体" w:eastAsia="宋体" w:hAnsi="宋体" w:cs="宋体" w:hint="eastAsia"/>
          <w:sz w:val="28"/>
          <w:szCs w:val="28"/>
        </w:rPr>
        <w:t>工作讨论稿</w:t>
      </w:r>
      <w:r>
        <w:rPr>
          <w:rFonts w:ascii="宋体" w:eastAsia="宋体" w:hAnsi="宋体" w:cs="宋体" w:hint="eastAsia"/>
          <w:sz w:val="28"/>
          <w:szCs w:val="28"/>
        </w:rPr>
        <w:t>）进行讨论，在此基础上进行了修改和完善</w:t>
      </w:r>
      <w:r w:rsidR="00DD4AC3">
        <w:rPr>
          <w:rFonts w:ascii="宋体" w:eastAsia="宋体" w:hAnsi="宋体" w:cs="宋体" w:hint="eastAsia"/>
          <w:sz w:val="28"/>
          <w:szCs w:val="28"/>
        </w:rPr>
        <w:t>，</w:t>
      </w:r>
      <w:r>
        <w:rPr>
          <w:rFonts w:ascii="宋体" w:eastAsia="宋体" w:hAnsi="宋体" w:cs="宋体" w:hint="eastAsia"/>
          <w:sz w:val="28"/>
          <w:szCs w:val="28"/>
        </w:rPr>
        <w:t>形成团标的征求意见稿。</w:t>
      </w:r>
    </w:p>
    <w:p w14:paraId="3FF902A5"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t>二、标准编制原则及主要内容</w:t>
      </w:r>
    </w:p>
    <w:p w14:paraId="4EE73CFF" w14:textId="77777777" w:rsidR="0048503D" w:rsidRDefault="00000000">
      <w:pPr>
        <w:spacing w:line="360" w:lineRule="auto"/>
        <w:rPr>
          <w:rFonts w:ascii="楷体_GB2312" w:eastAsia="楷体_GB2312" w:hint="eastAsia"/>
          <w:b/>
          <w:bCs/>
          <w:sz w:val="32"/>
          <w:szCs w:val="32"/>
        </w:rPr>
      </w:pPr>
      <w:r>
        <w:rPr>
          <w:rFonts w:ascii="楷体_GB2312" w:eastAsia="楷体_GB2312" w:hint="eastAsia"/>
          <w:b/>
          <w:bCs/>
          <w:sz w:val="32"/>
          <w:szCs w:val="32"/>
        </w:rPr>
        <w:t>（一）编制原则</w:t>
      </w:r>
    </w:p>
    <w:p w14:paraId="7340DF7C"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（1）聚焦风险控制</w:t>
      </w:r>
    </w:p>
    <w:p w14:paraId="69315E55"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导则以涉氨制冷行业为切入点，以风险管控逻辑贯穿安全评价工作过程，从企业基本情况出发，分析和描述风险点，辨识风险失控诱因、事故后果和风险控制措施，提出有针对性的措施，使安全评价回归风险控制的初衷。</w:t>
      </w:r>
    </w:p>
    <w:p w14:paraId="4F77EF2D"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（2）协调兼容</w:t>
      </w:r>
    </w:p>
    <w:p w14:paraId="5CEA8057"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纵向协调</w:t>
      </w:r>
      <w:r>
        <w:rPr>
          <w:rFonts w:ascii="宋体" w:eastAsia="宋体" w:hAnsi="宋体" w:cs="宋体"/>
          <w:sz w:val="28"/>
          <w:szCs w:val="28"/>
        </w:rPr>
        <w:t>：与上一层级的标准（如国家标准、国际标准）不冲突，</w:t>
      </w:r>
      <w:r>
        <w:rPr>
          <w:rFonts w:ascii="宋体" w:eastAsia="宋体" w:hAnsi="宋体" w:cs="宋体"/>
          <w:sz w:val="28"/>
          <w:szCs w:val="28"/>
        </w:rPr>
        <w:lastRenderedPageBreak/>
        <w:t>遵循“下位标准服从上位标准”的原则。</w:t>
      </w:r>
    </w:p>
    <w:p w14:paraId="34270155"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横向协调：与同级的相关标准（如其他行业标准、产品标准、方法标准）保持良好的衔接和兼容性，避免重复和矛盾。</w:t>
      </w:r>
    </w:p>
    <w:p w14:paraId="20A0CE92"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（3）适用全面</w:t>
      </w:r>
    </w:p>
    <w:p w14:paraId="5920C8DE"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标准的内容基于20余年成熟的安全评价工作实践经验，反映当前的行业水平和行业共识，既不过于超前，也不滞后。标准要求清晰明确可操作，便于各方用户执行和验证。</w:t>
      </w:r>
    </w:p>
    <w:p w14:paraId="181BE04D" w14:textId="77777777" w:rsidR="0048503D" w:rsidRDefault="00000000">
      <w:pPr>
        <w:spacing w:line="360" w:lineRule="auto"/>
        <w:rPr>
          <w:rFonts w:ascii="楷体_GB2312" w:eastAsia="楷体_GB2312" w:hint="eastAsia"/>
          <w:b/>
          <w:bCs/>
          <w:sz w:val="32"/>
          <w:szCs w:val="32"/>
        </w:rPr>
      </w:pPr>
      <w:r>
        <w:rPr>
          <w:rFonts w:ascii="楷体_GB2312" w:eastAsia="楷体_GB2312" w:hint="eastAsia"/>
          <w:b/>
          <w:bCs/>
          <w:sz w:val="32"/>
          <w:szCs w:val="32"/>
        </w:rPr>
        <w:t>（二）编制依据</w:t>
      </w:r>
    </w:p>
    <w:p w14:paraId="4D72C445"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（1）标准编写依据：《标准化工作导则第1部分：标准化文件的结构和起草规则》（GB/T1.1-2020）。</w:t>
      </w:r>
    </w:p>
    <w:p w14:paraId="3DA0F542"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安全评价相关依据：《中华人民共和国安全生产法》、《安全评价检测检验机构管理办法》（应急管理部令第1号）、《安全评价机构执业行为专项整治方案》（应急厅[2021]38号）、《应急管理部关于进一步加强安全评价机构监管的指导意见》（应急[2023]99号）、《安全评价通则》（AQ8001）、《风险管理术语》（GB/T23694）《风险管理风险评估技术》（GB/T27921）</w:t>
      </w:r>
    </w:p>
    <w:p w14:paraId="6E11280D"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（3）涉氨制冷相关依据：《氨制冷企业安全规范》（AQ7015）、《冷库安全规程》（GB/T28009）、《建筑设计防火规范》（GB50016）《冷库设计标准》（GB50072）、《工业企业总平面设计规范》（GB50187）。</w:t>
      </w:r>
    </w:p>
    <w:p w14:paraId="00789F67" w14:textId="77777777" w:rsidR="0048503D" w:rsidRDefault="00000000">
      <w:pPr>
        <w:spacing w:line="360" w:lineRule="auto"/>
        <w:rPr>
          <w:rFonts w:ascii="楷体_GB2312" w:eastAsia="楷体_GB2312" w:hint="eastAsia"/>
          <w:b/>
          <w:bCs/>
          <w:sz w:val="32"/>
          <w:szCs w:val="32"/>
        </w:rPr>
      </w:pPr>
      <w:r>
        <w:rPr>
          <w:rFonts w:ascii="楷体_GB2312" w:eastAsia="楷体_GB2312" w:hint="eastAsia"/>
          <w:b/>
          <w:bCs/>
          <w:sz w:val="32"/>
          <w:szCs w:val="32"/>
        </w:rPr>
        <w:t>（三）主要编制内容说明</w:t>
      </w:r>
    </w:p>
    <w:p w14:paraId="09BBA256"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（1）标准整体结构说明</w:t>
      </w:r>
    </w:p>
    <w:p w14:paraId="39BA99C6"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在内容结构上，《</w:t>
      </w:r>
      <w:r>
        <w:rPr>
          <w:rFonts w:ascii="宋体" w:eastAsia="宋体" w:hAnsi="宋体" w:cs="宋体" w:hint="eastAsia"/>
          <w:sz w:val="28"/>
          <w:szCs w:val="28"/>
        </w:rPr>
        <w:t>涉氨制冷企业安全现状评价导则</w:t>
      </w:r>
      <w:r>
        <w:rPr>
          <w:rFonts w:ascii="宋体" w:eastAsia="宋体" w:hAnsi="宋体" w:cs="宋体"/>
          <w:sz w:val="28"/>
          <w:szCs w:val="28"/>
        </w:rPr>
        <w:t>》</w:t>
      </w:r>
      <w:r>
        <w:rPr>
          <w:rFonts w:ascii="宋体" w:eastAsia="宋体" w:hAnsi="宋体" w:cs="宋体" w:hint="eastAsia"/>
          <w:sz w:val="28"/>
          <w:szCs w:val="28"/>
        </w:rPr>
        <w:t>（征求意见</w:t>
      </w:r>
      <w:r>
        <w:rPr>
          <w:rFonts w:ascii="宋体" w:eastAsia="宋体" w:hAnsi="宋体" w:cs="宋体" w:hint="eastAsia"/>
          <w:sz w:val="28"/>
          <w:szCs w:val="28"/>
        </w:rPr>
        <w:lastRenderedPageBreak/>
        <w:t>稿）</w:t>
      </w:r>
      <w:r>
        <w:rPr>
          <w:rFonts w:ascii="宋体" w:eastAsia="宋体" w:hAnsi="宋体" w:cs="宋体"/>
          <w:sz w:val="28"/>
          <w:szCs w:val="28"/>
        </w:rPr>
        <w:t>包括</w:t>
      </w:r>
      <w:r>
        <w:rPr>
          <w:rFonts w:ascii="宋体" w:eastAsia="宋体" w:hAnsi="宋体" w:cs="宋体" w:hint="eastAsia"/>
          <w:sz w:val="28"/>
          <w:szCs w:val="28"/>
        </w:rPr>
        <w:t>6</w:t>
      </w:r>
      <w:r>
        <w:rPr>
          <w:rFonts w:ascii="宋体" w:eastAsia="宋体" w:hAnsi="宋体" w:cs="宋体"/>
          <w:sz w:val="28"/>
          <w:szCs w:val="28"/>
        </w:rPr>
        <w:t xml:space="preserve">个方面的内容，分别为：第1章 范围；第2章 规范性引用文件；第3章 术语和定义；第4章 </w:t>
      </w:r>
      <w:r>
        <w:rPr>
          <w:rFonts w:ascii="宋体" w:eastAsia="宋体" w:hAnsi="宋体" w:cs="宋体" w:hint="eastAsia"/>
          <w:sz w:val="28"/>
          <w:szCs w:val="28"/>
        </w:rPr>
        <w:t>安全评价程序</w:t>
      </w:r>
      <w:r>
        <w:rPr>
          <w:rFonts w:ascii="宋体" w:eastAsia="宋体" w:hAnsi="宋体" w:cs="宋体"/>
          <w:sz w:val="28"/>
          <w:szCs w:val="28"/>
        </w:rPr>
        <w:t xml:space="preserve">； 第5章 </w:t>
      </w:r>
      <w:r>
        <w:rPr>
          <w:rFonts w:ascii="宋体" w:eastAsia="宋体" w:hAnsi="宋体" w:cs="宋体" w:hint="eastAsia"/>
          <w:sz w:val="28"/>
          <w:szCs w:val="28"/>
        </w:rPr>
        <w:t>安全评价内容与要求</w:t>
      </w:r>
      <w:r>
        <w:rPr>
          <w:rFonts w:ascii="宋体" w:eastAsia="宋体" w:hAnsi="宋体" w:cs="宋体"/>
          <w:sz w:val="28"/>
          <w:szCs w:val="28"/>
        </w:rPr>
        <w:t>；第6章</w:t>
      </w:r>
      <w:r>
        <w:rPr>
          <w:rFonts w:ascii="宋体" w:eastAsia="宋体" w:hAnsi="宋体" w:cs="宋体" w:hint="eastAsia"/>
          <w:sz w:val="28"/>
          <w:szCs w:val="28"/>
        </w:rPr>
        <w:t xml:space="preserve"> 报告编制。</w:t>
      </w:r>
    </w:p>
    <w:p w14:paraId="48906895" w14:textId="77777777" w:rsidR="0048503D" w:rsidRDefault="00000000">
      <w:pPr>
        <w:numPr>
          <w:ilvl w:val="0"/>
          <w:numId w:val="1"/>
        </w:num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范围</w:t>
      </w:r>
      <w:r>
        <w:rPr>
          <w:rFonts w:ascii="宋体" w:eastAsia="宋体" w:hAnsi="宋体" w:cs="宋体" w:hint="eastAsia"/>
          <w:sz w:val="28"/>
          <w:szCs w:val="28"/>
        </w:rPr>
        <w:t>：阐述了本导则的适用范围及主要内容。</w:t>
      </w:r>
    </w:p>
    <w:p w14:paraId="0140ED93" w14:textId="77777777" w:rsidR="0048503D" w:rsidRDefault="00000000">
      <w:pPr>
        <w:numPr>
          <w:ilvl w:val="0"/>
          <w:numId w:val="1"/>
        </w:num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规范性引用文件：阐述了本导则引用的标准。</w:t>
      </w:r>
    </w:p>
    <w:p w14:paraId="3AFBB447" w14:textId="77777777" w:rsidR="0048503D" w:rsidRDefault="00000000">
      <w:pPr>
        <w:numPr>
          <w:ilvl w:val="0"/>
          <w:numId w:val="1"/>
        </w:num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术语和定义：阐述了适用于本导则的规范性用词的含义。</w:t>
      </w:r>
    </w:p>
    <w:p w14:paraId="2C2F2382" w14:textId="77777777" w:rsidR="0048503D" w:rsidRDefault="00000000">
      <w:pPr>
        <w:numPr>
          <w:ilvl w:val="0"/>
          <w:numId w:val="1"/>
        </w:num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安全评价程序：阐述了本导则规定的安全评价程序应包括的内容。</w:t>
      </w:r>
    </w:p>
    <w:p w14:paraId="66D50BC6" w14:textId="77777777" w:rsidR="0048503D" w:rsidRDefault="00000000">
      <w:pPr>
        <w:numPr>
          <w:ilvl w:val="0"/>
          <w:numId w:val="1"/>
        </w:num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安全评价内容与要求：阐述了本导则规定的安全评价过程需要包含的步骤及其相关要求。</w:t>
      </w:r>
    </w:p>
    <w:p w14:paraId="33FFA0A9" w14:textId="77777777" w:rsidR="0048503D" w:rsidRDefault="00000000">
      <w:pPr>
        <w:numPr>
          <w:ilvl w:val="0"/>
          <w:numId w:val="1"/>
        </w:num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报告编制：阐述了本导则规定的安全评价报告内容、格式等方面的相关要求。</w:t>
      </w:r>
    </w:p>
    <w:p w14:paraId="77E60F01" w14:textId="77777777" w:rsidR="0048503D" w:rsidRDefault="00000000">
      <w:pPr>
        <w:numPr>
          <w:ilvl w:val="0"/>
          <w:numId w:val="2"/>
        </w:num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关键技术内容说明</w:t>
      </w:r>
    </w:p>
    <w:p w14:paraId="67EB5577" w14:textId="77777777" w:rsidR="0048503D" w:rsidRDefault="00000000">
      <w:pPr>
        <w:spacing w:line="360" w:lineRule="auto"/>
        <w:ind w:firstLine="560"/>
        <w:rPr>
          <w:rFonts w:ascii="宋体" w:eastAsia="宋体" w:hAnsi="宋体" w:cs="宋体" w:hint="eastAsia"/>
          <w:sz w:val="28"/>
          <w:szCs w:val="28"/>
        </w:rPr>
      </w:pPr>
      <w:r>
        <w:rPr>
          <w:rFonts w:ascii="宋体" w:eastAsia="宋体" w:hAnsi="宋体" w:cs="宋体" w:hint="eastAsia"/>
          <w:sz w:val="28"/>
          <w:szCs w:val="28"/>
        </w:rPr>
        <w:t>目前《安全评价通则》（AQ8001-2007）中安全评价内容有以下六方面方面：前期准备；辨识与分析危险、有害因素；划分评价单元；定性、定量评价；对策措施建议；安全评价结论。</w:t>
      </w:r>
    </w:p>
    <w:p w14:paraId="10E8B774" w14:textId="77777777" w:rsidR="0048503D" w:rsidRDefault="00000000">
      <w:pPr>
        <w:spacing w:line="360" w:lineRule="auto"/>
        <w:ind w:firstLine="560"/>
        <w:rPr>
          <w:rFonts w:ascii="Calibri" w:eastAsia="宋体" w:hAnsi="Calibri" w:cs="Calibri"/>
          <w:sz w:val="28"/>
          <w:szCs w:val="28"/>
        </w:rPr>
      </w:pPr>
      <w:r>
        <w:rPr>
          <w:rFonts w:ascii="宋体" w:eastAsia="宋体" w:hAnsi="宋体" w:cs="宋体" w:hint="eastAsia"/>
          <w:sz w:val="28"/>
          <w:szCs w:val="28"/>
        </w:rPr>
        <w:t>该通则对于从辨识与分析危险、有害因素到划分评价单元到定性定量评价，最后到对策措施建议与安全评价结论这一过程，没有进行具有一定逻辑</w:t>
      </w:r>
      <w:r>
        <w:rPr>
          <w:rFonts w:ascii="Calibri" w:eastAsia="宋体" w:hAnsi="Calibri" w:cs="Calibri" w:hint="eastAsia"/>
          <w:sz w:val="28"/>
          <w:szCs w:val="28"/>
        </w:rPr>
        <w:t>关联性的规范。</w:t>
      </w:r>
    </w:p>
    <w:p w14:paraId="37D84B7B" w14:textId="77777777" w:rsidR="0048503D" w:rsidRDefault="00000000">
      <w:pPr>
        <w:spacing w:line="360" w:lineRule="auto"/>
        <w:ind w:firstLine="560"/>
        <w:rPr>
          <w:rFonts w:ascii="Calibri" w:eastAsia="宋体" w:hAnsi="Calibri" w:cs="Calibri"/>
          <w:sz w:val="28"/>
          <w:szCs w:val="28"/>
        </w:rPr>
      </w:pPr>
      <w:r>
        <w:rPr>
          <w:rFonts w:ascii="Calibri" w:eastAsia="宋体" w:hAnsi="Calibri" w:cs="Calibri" w:hint="eastAsia"/>
          <w:sz w:val="28"/>
          <w:szCs w:val="28"/>
        </w:rPr>
        <w:t>本导则通过引入《风险管理</w:t>
      </w:r>
      <w:r>
        <w:rPr>
          <w:rFonts w:ascii="Calibri" w:eastAsia="宋体" w:hAnsi="Calibri" w:cs="Calibri" w:hint="eastAsia"/>
          <w:sz w:val="28"/>
          <w:szCs w:val="28"/>
        </w:rPr>
        <w:t xml:space="preserve"> </w:t>
      </w:r>
      <w:r>
        <w:rPr>
          <w:rFonts w:ascii="Calibri" w:eastAsia="宋体" w:hAnsi="Calibri" w:cs="Calibri" w:hint="eastAsia"/>
          <w:sz w:val="28"/>
          <w:szCs w:val="28"/>
        </w:rPr>
        <w:t>术语》（</w:t>
      </w:r>
      <w:r>
        <w:rPr>
          <w:rFonts w:ascii="Calibri" w:eastAsia="宋体" w:hAnsi="Calibri" w:cs="Calibri" w:hint="eastAsia"/>
          <w:sz w:val="28"/>
          <w:szCs w:val="28"/>
        </w:rPr>
        <w:t>GB/T23694-2013</w:t>
      </w:r>
      <w:r>
        <w:rPr>
          <w:rFonts w:ascii="Calibri" w:eastAsia="宋体" w:hAnsi="Calibri" w:cs="Calibri" w:hint="eastAsia"/>
          <w:sz w:val="28"/>
          <w:szCs w:val="28"/>
        </w:rPr>
        <w:t>）中风险的定义，进行以下改进和细化：</w:t>
      </w:r>
    </w:p>
    <w:p w14:paraId="352EE935" w14:textId="77777777" w:rsidR="0048503D" w:rsidRDefault="00000000">
      <w:pPr>
        <w:spacing w:line="360" w:lineRule="auto"/>
        <w:ind w:firstLine="560"/>
        <w:rPr>
          <w:rFonts w:ascii="Calibri" w:eastAsia="宋体" w:hAnsi="Calibri" w:cs="Calibri"/>
          <w:sz w:val="28"/>
          <w:szCs w:val="28"/>
        </w:rPr>
      </w:pPr>
      <w:r>
        <w:rPr>
          <w:rFonts w:ascii="Calibri" w:eastAsia="宋体" w:hAnsi="Calibri" w:cs="Calibri" w:hint="eastAsia"/>
          <w:sz w:val="28"/>
          <w:szCs w:val="28"/>
        </w:rPr>
        <w:t>①将划分评价单元转化为评价单元与风险点划分，第一步先对评</w:t>
      </w:r>
      <w:r>
        <w:rPr>
          <w:rFonts w:ascii="Calibri" w:eastAsia="宋体" w:hAnsi="Calibri" w:cs="Calibri" w:hint="eastAsia"/>
          <w:sz w:val="28"/>
          <w:szCs w:val="28"/>
        </w:rPr>
        <w:lastRenderedPageBreak/>
        <w:t>价对象进行风险点拆分；</w:t>
      </w:r>
    </w:p>
    <w:p w14:paraId="0680A5DB" w14:textId="77777777" w:rsidR="0048503D" w:rsidRDefault="00000000">
      <w:pPr>
        <w:spacing w:line="360" w:lineRule="auto"/>
        <w:ind w:firstLine="560"/>
        <w:rPr>
          <w:rFonts w:ascii="Calibri" w:eastAsia="宋体" w:hAnsi="Calibri" w:cs="Calibri"/>
          <w:sz w:val="28"/>
          <w:szCs w:val="28"/>
        </w:rPr>
      </w:pPr>
      <w:r>
        <w:rPr>
          <w:rFonts w:ascii="Calibri" w:eastAsia="宋体" w:hAnsi="Calibri" w:cs="Calibri" w:hint="eastAsia"/>
          <w:sz w:val="28"/>
          <w:szCs w:val="28"/>
        </w:rPr>
        <w:t>②将辨识与分析危险、有害因素转化为危险源分析，针对拆分后的风险点，采用风险的定义——不确定性对目标的影响（影响是指目标偏离预期的情况）作为辨识方法，逐一分析并描述，包括危险源、事件、失控诱因和后果。</w:t>
      </w:r>
    </w:p>
    <w:p w14:paraId="697A1490" w14:textId="77777777" w:rsidR="0048503D" w:rsidRDefault="00000000">
      <w:pPr>
        <w:spacing w:line="360" w:lineRule="auto"/>
        <w:ind w:firstLine="560"/>
        <w:rPr>
          <w:rFonts w:ascii="Calibri" w:eastAsia="宋体" w:hAnsi="Calibri" w:cs="Calibri"/>
          <w:sz w:val="28"/>
          <w:szCs w:val="28"/>
        </w:rPr>
      </w:pPr>
      <w:r>
        <w:rPr>
          <w:rFonts w:ascii="Calibri" w:eastAsia="宋体" w:hAnsi="Calibri" w:cs="Calibri" w:hint="eastAsia"/>
          <w:sz w:val="28"/>
          <w:szCs w:val="28"/>
        </w:rPr>
        <w:t>③将定性定量评价用来规定评价对象各风险点的固有风险大小，固有风险在现有安全措施的消减下的剩余风险。</w:t>
      </w:r>
    </w:p>
    <w:p w14:paraId="3FBCD92B" w14:textId="77777777" w:rsidR="0048503D" w:rsidRDefault="00000000">
      <w:pPr>
        <w:spacing w:line="360" w:lineRule="auto"/>
        <w:ind w:firstLine="560"/>
        <w:rPr>
          <w:rFonts w:ascii="Calibri" w:eastAsia="宋体" w:hAnsi="Calibri" w:cs="Calibri"/>
          <w:sz w:val="28"/>
          <w:szCs w:val="28"/>
        </w:rPr>
      </w:pPr>
      <w:r>
        <w:rPr>
          <w:rFonts w:ascii="Calibri" w:eastAsia="宋体" w:hAnsi="Calibri" w:cs="Calibri" w:hint="eastAsia"/>
          <w:sz w:val="28"/>
          <w:szCs w:val="28"/>
        </w:rPr>
        <w:t>④将安全对策措施建议变得更有针对性：评价对象各风险点的固有风险在现有安全措施的消减下任然不能满足风险控制的要求，才会提出具有针对性的补充安全对策措施。</w:t>
      </w:r>
    </w:p>
    <w:p w14:paraId="2E87D317"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t>三、与国际、国外有关法律法规和标准水平的对比分析</w:t>
      </w:r>
    </w:p>
    <w:p w14:paraId="69797801" w14:textId="77777777" w:rsidR="0048503D" w:rsidRDefault="00000000">
      <w:pPr>
        <w:spacing w:line="360" w:lineRule="auto"/>
        <w:ind w:firstLineChars="200" w:firstLine="560"/>
        <w:rPr>
          <w:rFonts w:ascii="宋体" w:eastAsia="宋体" w:hAnsi="宋体" w:hint="eastAsia"/>
          <w:sz w:val="32"/>
          <w:szCs w:val="32"/>
        </w:rPr>
      </w:pPr>
      <w:r>
        <w:rPr>
          <w:rFonts w:ascii="宋体" w:eastAsia="宋体" w:hAnsi="宋体" w:cs="宋体" w:hint="eastAsia"/>
          <w:sz w:val="28"/>
          <w:szCs w:val="28"/>
        </w:rPr>
        <w:t>本标准是为了规范涉氨制冷企业安全现状评价活动而做出的相关技术要求，国际、国外目前还没有相关的法律法规和标准。</w:t>
      </w:r>
    </w:p>
    <w:p w14:paraId="2BB9D454"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t>四、与有关现行法律、法规和其他相关标准的关系</w:t>
      </w:r>
    </w:p>
    <w:p w14:paraId="242BFC14"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本标准根据《中华人民共和国安全生产法》、《危险化学品安全管理条例》、《浙江省安全生产条例》等的相关要求制定。</w:t>
      </w:r>
    </w:p>
    <w:p w14:paraId="363ABBD8"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依据《标准化工作导则 第 1 部分：标准化文件的结构和起草规则》（GB/T 1.1-2020）进行编制。</w:t>
      </w:r>
    </w:p>
    <w:p w14:paraId="100CE77C"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本标准与《安全评价通则》、《安全评价过程控制管理规范 安全评价报告编制》(T/ZAWS 001-2022)保持协调统一，相互支撑。</w:t>
      </w:r>
    </w:p>
    <w:p w14:paraId="1313579F"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t>五、重大分歧意见的处理过程、处理意见及其依据</w:t>
      </w:r>
    </w:p>
    <w:p w14:paraId="4FE152BE" w14:textId="77777777" w:rsidR="0048503D" w:rsidRDefault="00000000">
      <w:pPr>
        <w:spacing w:line="360" w:lineRule="auto"/>
        <w:ind w:firstLineChars="200" w:firstLine="640"/>
        <w:rPr>
          <w:rFonts w:ascii="宋体" w:eastAsia="宋体" w:hAnsi="宋体" w:hint="eastAsia"/>
          <w:sz w:val="32"/>
          <w:szCs w:val="32"/>
        </w:rPr>
      </w:pPr>
      <w:r>
        <w:rPr>
          <w:rFonts w:ascii="宋体" w:eastAsia="宋体" w:hAnsi="宋体" w:hint="eastAsia"/>
          <w:sz w:val="32"/>
          <w:szCs w:val="32"/>
        </w:rPr>
        <w:t>无</w:t>
      </w:r>
    </w:p>
    <w:p w14:paraId="68153A53"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lastRenderedPageBreak/>
        <w:t>六、作为强制性标准或推荐性标准的建议及理由</w:t>
      </w:r>
    </w:p>
    <w:p w14:paraId="5BFBE36A" w14:textId="77777777" w:rsidR="0048503D"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本标准主要提出了一种基于风险管控的、适用于涉氨制冷企业安全现状评价报告编制的方法，可以作为安全评价机构开展涉氨制冷企业安全现状评价报告编制的技术指导，因此建议本标准为推荐性标准。</w:t>
      </w:r>
    </w:p>
    <w:p w14:paraId="116B7642"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t>七、</w:t>
      </w:r>
      <w:r>
        <w:rPr>
          <w:rFonts w:ascii="黑体" w:eastAsia="黑体" w:hAnsi="黑体"/>
          <w:sz w:val="32"/>
          <w:szCs w:val="32"/>
        </w:rPr>
        <w:t xml:space="preserve"> 贯彻标准的要求和措施建议 </w:t>
      </w:r>
    </w:p>
    <w:p w14:paraId="389CF34D" w14:textId="77777777" w:rsidR="0048503D" w:rsidRDefault="00000000">
      <w:pPr>
        <w:spacing w:line="360" w:lineRule="auto"/>
        <w:ind w:firstLineChars="200" w:firstLine="640"/>
        <w:rPr>
          <w:rFonts w:ascii="宋体" w:eastAsia="宋体" w:hAnsi="宋体" w:hint="eastAsia"/>
          <w:sz w:val="32"/>
          <w:szCs w:val="32"/>
        </w:rPr>
      </w:pPr>
      <w:r>
        <w:rPr>
          <w:rFonts w:ascii="宋体" w:eastAsia="宋体" w:hAnsi="宋体" w:hint="eastAsia"/>
          <w:sz w:val="32"/>
          <w:szCs w:val="32"/>
        </w:rPr>
        <w:t>无</w:t>
      </w:r>
    </w:p>
    <w:p w14:paraId="62A47394"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t>八、</w:t>
      </w:r>
      <w:r>
        <w:rPr>
          <w:rFonts w:ascii="黑体" w:eastAsia="黑体" w:hAnsi="黑体"/>
          <w:sz w:val="32"/>
          <w:szCs w:val="32"/>
        </w:rPr>
        <w:t xml:space="preserve"> 涉及专利的有关说明</w:t>
      </w:r>
    </w:p>
    <w:p w14:paraId="753B333D" w14:textId="77777777" w:rsidR="0048503D" w:rsidRDefault="00000000">
      <w:pPr>
        <w:spacing w:line="360" w:lineRule="auto"/>
        <w:ind w:firstLineChars="200" w:firstLine="640"/>
        <w:rPr>
          <w:rFonts w:ascii="宋体" w:eastAsia="宋体" w:hAnsi="宋体" w:hint="eastAsia"/>
          <w:sz w:val="32"/>
          <w:szCs w:val="32"/>
        </w:rPr>
      </w:pPr>
      <w:r>
        <w:rPr>
          <w:rFonts w:ascii="宋体" w:eastAsia="宋体" w:hAnsi="宋体" w:hint="eastAsia"/>
          <w:sz w:val="32"/>
          <w:szCs w:val="32"/>
        </w:rPr>
        <w:t>无</w:t>
      </w:r>
    </w:p>
    <w:p w14:paraId="59F2D80B" w14:textId="77777777" w:rsidR="0048503D" w:rsidRDefault="00000000">
      <w:pPr>
        <w:spacing w:line="360" w:lineRule="auto"/>
        <w:rPr>
          <w:rFonts w:ascii="黑体" w:eastAsia="黑体" w:hAnsi="黑体" w:hint="eastAsia"/>
          <w:sz w:val="32"/>
          <w:szCs w:val="32"/>
        </w:rPr>
      </w:pPr>
      <w:r>
        <w:rPr>
          <w:rFonts w:ascii="黑体" w:eastAsia="黑体" w:hAnsi="黑体" w:hint="eastAsia"/>
          <w:sz w:val="32"/>
          <w:szCs w:val="32"/>
        </w:rPr>
        <w:t>九、</w:t>
      </w:r>
      <w:r>
        <w:rPr>
          <w:rFonts w:ascii="黑体" w:eastAsia="黑体" w:hAnsi="黑体"/>
          <w:sz w:val="32"/>
          <w:szCs w:val="32"/>
        </w:rPr>
        <w:t xml:space="preserve"> 其他应予以说明的事项 </w:t>
      </w:r>
    </w:p>
    <w:p w14:paraId="3B15E2DB" w14:textId="77777777" w:rsidR="0048503D" w:rsidRDefault="00000000">
      <w:pPr>
        <w:spacing w:line="360" w:lineRule="auto"/>
        <w:ind w:firstLineChars="200" w:firstLine="640"/>
        <w:rPr>
          <w:rFonts w:ascii="宋体" w:eastAsia="宋体" w:hAnsi="宋体" w:hint="eastAsia"/>
          <w:sz w:val="32"/>
          <w:szCs w:val="32"/>
        </w:rPr>
      </w:pPr>
      <w:r>
        <w:rPr>
          <w:rFonts w:ascii="宋体" w:eastAsia="宋体" w:hAnsi="宋体" w:hint="eastAsia"/>
          <w:sz w:val="32"/>
          <w:szCs w:val="32"/>
        </w:rPr>
        <w:t>无</w:t>
      </w:r>
    </w:p>
    <w:p w14:paraId="3F0DB7ED" w14:textId="77777777" w:rsidR="0048503D" w:rsidRDefault="0048503D">
      <w:pPr>
        <w:spacing w:line="360" w:lineRule="auto"/>
        <w:rPr>
          <w:rFonts w:hint="eastAsia"/>
        </w:rPr>
      </w:pPr>
    </w:p>
    <w:sectPr w:rsidR="00485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8965"/>
    <w:multiLevelType w:val="singleLevel"/>
    <w:tmpl w:val="01818965"/>
    <w:lvl w:ilvl="0">
      <w:start w:val="2"/>
      <w:numFmt w:val="decimal"/>
      <w:suff w:val="nothing"/>
      <w:lvlText w:val="（%1）"/>
      <w:lvlJc w:val="left"/>
    </w:lvl>
  </w:abstractNum>
  <w:abstractNum w:abstractNumId="1" w15:restartNumberingAfterBreak="0">
    <w:nsid w:val="03629C7F"/>
    <w:multiLevelType w:val="singleLevel"/>
    <w:tmpl w:val="03629C7F"/>
    <w:lvl w:ilvl="0">
      <w:start w:val="1"/>
      <w:numFmt w:val="decimal"/>
      <w:suff w:val="space"/>
      <w:lvlText w:val="第%1章"/>
      <w:lvlJc w:val="left"/>
    </w:lvl>
  </w:abstractNum>
  <w:num w:numId="1" w16cid:durableId="1361201292">
    <w:abstractNumId w:val="1"/>
  </w:num>
  <w:num w:numId="2" w16cid:durableId="77332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5B"/>
    <w:rsid w:val="00097644"/>
    <w:rsid w:val="0041125B"/>
    <w:rsid w:val="0048503D"/>
    <w:rsid w:val="004B035D"/>
    <w:rsid w:val="00553BE2"/>
    <w:rsid w:val="00731C45"/>
    <w:rsid w:val="00951538"/>
    <w:rsid w:val="00A53C62"/>
    <w:rsid w:val="00A75048"/>
    <w:rsid w:val="00C00C51"/>
    <w:rsid w:val="00DD4AC3"/>
    <w:rsid w:val="00E83B16"/>
    <w:rsid w:val="083B6BE4"/>
    <w:rsid w:val="12AE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084D"/>
  <w15:docId w15:val="{90AFC348-CA56-42B9-865E-6AF4B46D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rPr>
      <w:sz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c">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ChunSheng Zhou</dc:creator>
  <cp:lastModifiedBy>ChunSheng Zhou</cp:lastModifiedBy>
  <cp:revision>6</cp:revision>
  <dcterms:created xsi:type="dcterms:W3CDTF">2024-04-23T01:19:00Z</dcterms:created>
  <dcterms:modified xsi:type="dcterms:W3CDTF">2025-09-11T01:37:00Z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eyJoZGlkIjoiNGI0YzRjYTk3OWI0MmYyMGEzMGQzZWY1ZDg3NjU4MDQiLCJ1c2VySWQiOiI4MTYwNDU3NTQifQ==</vt:lpwstr>
  </property>
  <property fmtid="{D5CDD505-2E9C-101B-9397-08002B2CF9AE}" pid="3" name="KSOProductBuildVer">
    <vt:lpwstr>2052-12.1.0.22529</vt:lpwstr>
  </property>
  <property fmtid="{D5CDD505-2E9C-101B-9397-08002B2CF9AE}" pid="4" name="ICV">
    <vt:lpwstr>5E43FDA61C38467691B2D25FF60364DB_12</vt:lpwstr>
  </property>
</Properties>
</file>