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322C" w14:textId="77777777" w:rsidR="00546887" w:rsidRDefault="00546887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4E9F322D" w14:textId="77777777" w:rsidR="00546887" w:rsidRDefault="00546887">
      <w:pPr>
        <w:spacing w:line="560" w:lineRule="exact"/>
        <w:rPr>
          <w:rFonts w:ascii="黑体" w:eastAsia="黑体" w:hAnsi="黑体" w:hint="eastAsia"/>
          <w:b/>
          <w:bCs/>
          <w:sz w:val="48"/>
          <w:szCs w:val="48"/>
        </w:rPr>
      </w:pPr>
    </w:p>
    <w:p w14:paraId="4E9F322E" w14:textId="77777777" w:rsidR="00546887" w:rsidRDefault="00546887">
      <w:pPr>
        <w:spacing w:line="560" w:lineRule="exact"/>
        <w:jc w:val="center"/>
        <w:rPr>
          <w:rFonts w:ascii="黑体" w:eastAsia="黑体" w:hAnsi="黑体" w:hint="eastAsia"/>
          <w:b/>
          <w:bCs/>
          <w:sz w:val="44"/>
          <w:szCs w:val="44"/>
        </w:rPr>
      </w:pPr>
    </w:p>
    <w:p w14:paraId="4E9F322F" w14:textId="77777777" w:rsidR="00546887" w:rsidRDefault="00000000">
      <w:pPr>
        <w:spacing w:line="560" w:lineRule="exact"/>
        <w:jc w:val="center"/>
        <w:rPr>
          <w:rFonts w:ascii="方正小标宋简体" w:eastAsia="方正小标宋简体" w:hAnsi="黑体" w:hint="eastAsia"/>
          <w:w w:val="90"/>
          <w:sz w:val="28"/>
          <w:szCs w:val="28"/>
        </w:rPr>
      </w:pPr>
      <w:r>
        <w:rPr>
          <w:rFonts w:ascii="方正小标宋简体" w:eastAsia="方正小标宋简体" w:hAnsi="黑体" w:hint="eastAsia"/>
          <w:spacing w:val="52"/>
          <w:w w:val="90"/>
          <w:sz w:val="48"/>
          <w:szCs w:val="48"/>
        </w:rPr>
        <w:t>《城市管理驿站安全管理基本要求》</w:t>
      </w:r>
    </w:p>
    <w:p w14:paraId="4E9F3230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1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2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pacing w:val="52"/>
          <w:sz w:val="28"/>
          <w:szCs w:val="28"/>
        </w:rPr>
      </w:pPr>
    </w:p>
    <w:p w14:paraId="4E9F3233" w14:textId="77777777" w:rsidR="00546887" w:rsidRDefault="00000000">
      <w:pPr>
        <w:spacing w:line="560" w:lineRule="exact"/>
        <w:jc w:val="center"/>
        <w:outlineLvl w:val="1"/>
        <w:rPr>
          <w:rFonts w:ascii="方正小标宋简体" w:eastAsia="方正小标宋简体" w:hAnsi="黑体" w:hint="eastAsia"/>
          <w:spacing w:val="52"/>
          <w:sz w:val="48"/>
          <w:szCs w:val="48"/>
        </w:rPr>
      </w:pPr>
      <w:r>
        <w:rPr>
          <w:rFonts w:ascii="方正小标宋简体" w:eastAsia="方正小标宋简体" w:hAnsi="黑体" w:hint="eastAsia"/>
          <w:spacing w:val="52"/>
          <w:sz w:val="48"/>
          <w:szCs w:val="48"/>
        </w:rPr>
        <w:t>编制说明</w:t>
      </w:r>
    </w:p>
    <w:p w14:paraId="4E9F3234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5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6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7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8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9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A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B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C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D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E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3F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E9F3240" w14:textId="77777777" w:rsidR="00546887" w:rsidRDefault="00000000">
      <w:pPr>
        <w:spacing w:line="56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  <w:r>
        <w:rPr>
          <w:rFonts w:ascii="方正小标宋简体" w:eastAsia="方正小标宋简体" w:hAnsi="黑体" w:hint="eastAsia"/>
          <w:sz w:val="36"/>
          <w:szCs w:val="36"/>
        </w:rPr>
        <w:t>标准编制组</w:t>
      </w:r>
    </w:p>
    <w:p w14:paraId="4E9F3241" w14:textId="77777777" w:rsidR="00546887" w:rsidRDefault="00546887">
      <w:pPr>
        <w:spacing w:line="560" w:lineRule="exact"/>
        <w:jc w:val="center"/>
        <w:rPr>
          <w:rFonts w:ascii="方正小标宋简体" w:eastAsia="方正小标宋简体" w:hAnsi="Times New Roman"/>
          <w:sz w:val="28"/>
          <w:szCs w:val="28"/>
        </w:rPr>
      </w:pPr>
    </w:p>
    <w:p w14:paraId="4E9F3242" w14:textId="77777777" w:rsidR="00546887" w:rsidRDefault="00546887">
      <w:pPr>
        <w:spacing w:line="560" w:lineRule="exact"/>
        <w:rPr>
          <w:rFonts w:ascii="黑体" w:eastAsia="黑体" w:hAnsi="黑体" w:hint="eastAsia"/>
          <w:sz w:val="32"/>
          <w:szCs w:val="32"/>
        </w:rPr>
        <w:sectPr w:rsidR="005468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9F3243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一、编制工作简况</w:t>
      </w:r>
    </w:p>
    <w:p w14:paraId="4E9F3244" w14:textId="77777777" w:rsidR="00546887" w:rsidRDefault="00000000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（一）制定背景</w:t>
      </w:r>
    </w:p>
    <w:p w14:paraId="4E9F3245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城市管理驿站是城市重要公益性公共服务载体，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集市民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休憩、便民服务、物资补给、应急救助等功能于一体，是提升城市公共服务能级、彰显民生温度的基础性公共设施。自2019年嘉兴依托“厕所革命”创新打造“禾城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驿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·温暖嘉”品牌以来，省内及全国各地区广泛借鉴，驿站建设规模持续扩大。</w:t>
      </w:r>
    </w:p>
    <w:p w14:paraId="4E9F3246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随着驿站数量、人流量、服务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液业类持续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增长，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维短板与多元化安全风险同步凸显，现有管理模式、规范体系已无法匹配实际运营需求，主要存在四大现实痛点：</w:t>
      </w:r>
    </w:p>
    <w:p w14:paraId="4E9F3247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1.安全隐患多发，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管控无统一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标准：驿站电气、消防、环卫、应急类风险普遍存在，超六成站点无专职安全员，巡检、维保、应急处置缺少统一操作规范，各类安全险情时有发生。</w:t>
      </w:r>
    </w:p>
    <w:p w14:paraId="4E9F3248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2.现有标准侧重建设，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安全运维规范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空白：现行省、市、行业标准仅对驿站建设、基础服务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作出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规定，未细化全流程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维细则，行业缺乏可直接落地的安全管理依据，国内外亦无同类标准可参照。</w:t>
      </w:r>
    </w:p>
    <w:p w14:paraId="4E9F3249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3.多方共管模式，安全责任模糊：驿站管理涉及应急、城管、运营企业等多个主体，权责划分不清，隐患整改易推诿，未形成闭环追责机制。</w:t>
      </w:r>
    </w:p>
    <w:p w14:paraId="4E9F324A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4.城市精细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化治理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提出硬性民生要求：城市驿站属于全天候对外开放的高频公共空间，安全风险具有常态化、分散</w:t>
      </w: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化、突发性特点。亟需通过标准化建设，全面规范驿站安全管理流程，推动驿站从“重建设数量”向“重安全质量、重长效运营”转变，补齐城市公共安全治理短板。</w:t>
      </w:r>
    </w:p>
    <w:p w14:paraId="4E9F324B" w14:textId="77777777" w:rsidR="00546887" w:rsidRPr="00E57A83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基于上述行业现状与治理需求，嘉兴市应急管理局结合本地多年驿站运营实践，提出编制城市管理驿站安全管理专项团体标准，由嘉兴市温暖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嘉城市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服务有限公司牵头，联合应急、市政、环卫、安全技术专业单位组建编制组，依托嘉兴成熟的“禾城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驿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·温暖嘉” 驿站运维经验，结合全省各地驿站管理共性需求，制定本标准，填补国内城市管理驿站</w:t>
      </w:r>
      <w:proofErr w:type="gramStart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安全运维领域</w:t>
      </w:r>
      <w:proofErr w:type="gramEnd"/>
      <w:r w:rsidRPr="00E57A83">
        <w:rPr>
          <w:rFonts w:ascii="仿宋_GB2312" w:eastAsia="仿宋_GB2312" w:hAnsi="CESI仿宋-GB2312" w:cs="CESI仿宋-GB2312" w:hint="eastAsia"/>
          <w:sz w:val="32"/>
          <w:szCs w:val="32"/>
        </w:rPr>
        <w:t>标准空白，为全省乃至全国同类驿站提供统一安全管理技术依据。</w:t>
      </w:r>
    </w:p>
    <w:p w14:paraId="4E9F324C" w14:textId="77777777" w:rsidR="00546887" w:rsidRDefault="00000000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（二）起草单位</w:t>
      </w:r>
    </w:p>
    <w:p w14:paraId="4E9F324D" w14:textId="77777777" w:rsidR="00546887" w:rsidRPr="00FB0FE2" w:rsidRDefault="00000000">
      <w:pPr>
        <w:spacing w:line="560" w:lineRule="exact"/>
        <w:ind w:firstLineChars="200" w:firstLine="643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FB0FE2">
        <w:rPr>
          <w:rFonts w:ascii="仿宋_GB2312" w:eastAsia="仿宋_GB2312" w:hAnsi="CESI仿宋-GB2312" w:cs="CESI仿宋-GB2312" w:hint="eastAsia"/>
          <w:b/>
          <w:bCs/>
          <w:sz w:val="32"/>
          <w:szCs w:val="32"/>
        </w:rPr>
        <w:t>牵头起草单位：</w:t>
      </w:r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嘉兴市温暖</w:t>
      </w:r>
      <w:proofErr w:type="gramStart"/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嘉城市</w:t>
      </w:r>
      <w:proofErr w:type="gramEnd"/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服务有限公司</w:t>
      </w:r>
    </w:p>
    <w:p w14:paraId="4E9F324E" w14:textId="77777777" w:rsidR="00546887" w:rsidRPr="00FB0FE2" w:rsidRDefault="00000000">
      <w:pPr>
        <w:spacing w:line="560" w:lineRule="exact"/>
        <w:ind w:firstLineChars="200" w:firstLine="643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FB0FE2">
        <w:rPr>
          <w:rFonts w:ascii="仿宋_GB2312" w:eastAsia="仿宋_GB2312" w:hAnsi="CESI仿宋-GB2312" w:cs="CESI仿宋-GB2312" w:hint="eastAsia"/>
          <w:b/>
          <w:bCs/>
          <w:sz w:val="32"/>
          <w:szCs w:val="32"/>
        </w:rPr>
        <w:t>参编单位：</w:t>
      </w:r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嘉兴市应急管理局、嘉兴经济技术开发区社会治理部（应急管理局）、嘉兴市园林市政管理服务中心、嘉兴市城镇环境卫生协会、嘉兴市南湖区城乡环境卫生管理服务中心、嘉善县园林市政管理服务中心、浙江和</w:t>
      </w:r>
      <w:proofErr w:type="gramStart"/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邦</w:t>
      </w:r>
      <w:proofErr w:type="gramEnd"/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安全技术有限公司。</w:t>
      </w:r>
    </w:p>
    <w:p w14:paraId="4E9F324F" w14:textId="77777777" w:rsidR="00546887" w:rsidRDefault="00000000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（三）标准编制过程</w:t>
      </w:r>
    </w:p>
    <w:p w14:paraId="4E9F3250" w14:textId="77777777" w:rsidR="00546887" w:rsidRPr="00FB0FE2" w:rsidRDefault="00000000">
      <w:pPr>
        <w:spacing w:line="560" w:lineRule="exact"/>
        <w:ind w:firstLineChars="200" w:firstLine="643"/>
        <w:rPr>
          <w:rFonts w:ascii="仿宋_GB2312" w:eastAsia="仿宋_GB2312" w:hAnsi="CESI仿宋-GB2312" w:cs="CESI仿宋-GB2312" w:hint="eastAsia"/>
          <w:b/>
          <w:bCs/>
          <w:sz w:val="32"/>
          <w:szCs w:val="32"/>
        </w:rPr>
      </w:pPr>
      <w:r w:rsidRPr="00FB0FE2">
        <w:rPr>
          <w:rFonts w:ascii="仿宋_GB2312" w:eastAsia="仿宋_GB2312" w:hAnsi="CESI仿宋-GB2312" w:cs="CESI仿宋-GB2312" w:hint="eastAsia"/>
          <w:b/>
          <w:bCs/>
          <w:sz w:val="32"/>
          <w:szCs w:val="32"/>
        </w:rPr>
        <w:t>1.起草工作阶段</w:t>
      </w:r>
    </w:p>
    <w:p w14:paraId="4E9F3251" w14:textId="77777777" w:rsidR="00546887" w:rsidRPr="00FB0FE2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2026年2月，正式组建标准编制组，明确编制目标、工作分工、时间节点及技术路线。</w:t>
      </w:r>
    </w:p>
    <w:p w14:paraId="4E9F3252" w14:textId="77777777" w:rsidR="00546887" w:rsidRPr="00FB0FE2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2026年3-4月，编制组梳理《安全生产法》《消防法》及省、市现有城管驿站建设类地方标准、环卫行业团体标准、</w:t>
      </w:r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建筑电气防火国标等政策、技术文件，搭建标准整体章节框架；开展全域实地调研，对嘉兴市本级 19 座温暖嘉驿站、嘉善10座</w:t>
      </w:r>
      <w:proofErr w:type="gramStart"/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善城驿站</w:t>
      </w:r>
      <w:proofErr w:type="gramEnd"/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、周边地级市多座城市管理驿站及多类型基础型、拓展型驿站开展现场摸排走访，系统梳理电气、消防、公共卫生、人员及作业、应急、治安六大类安全风险，统计驿站运维共性短板；对接市政、应急、环卫行业安全专家开展技术咨询，明确设施运维、人员管理、应急处置等核心技术指标。</w:t>
      </w:r>
    </w:p>
    <w:p w14:paraId="4E9F3253" w14:textId="77777777" w:rsidR="00546887" w:rsidRPr="00FB0FE2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FB0FE2">
        <w:rPr>
          <w:rFonts w:ascii="仿宋_GB2312" w:eastAsia="仿宋_GB2312" w:hAnsi="CESI仿宋-GB2312" w:cs="CESI仿宋-GB2312" w:hint="eastAsia"/>
          <w:sz w:val="32"/>
          <w:szCs w:val="32"/>
        </w:rPr>
        <w:t>基于调研成果，编制组于2026年4月底完成标准初稿编制，明确标准框架并组织3轮内部研讨，优化条款表述，完善编制说明。2026年5月，标准正式报浙江省安全生产协会申请立项。</w:t>
      </w:r>
    </w:p>
    <w:p w14:paraId="4E9F3254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二、标准编制原则及主要内容</w:t>
      </w:r>
    </w:p>
    <w:p w14:paraId="4E9F3255" w14:textId="77777777" w:rsidR="00546887" w:rsidRDefault="00000000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（一）编制原则</w:t>
      </w:r>
    </w:p>
    <w:p w14:paraId="4E9F3256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1.合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规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兼容，衔接现行法规标准：本标准严格遵循《中华人民共和国安全生产法》《中华人民共和国消防法》《突发事件应对法》《城市市容和环境卫生管理条例》等法律法规，全部条款与 GB 50016、GB 55036、DB33/T 2355 等现行国家、地方、行业标准保持一致，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不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新增冲突性要求，对现有驿站建设类标准缺失的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维内容做专项补充。</w:t>
      </w:r>
    </w:p>
    <w:p w14:paraId="4E9F3257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2.问题导向，填补领域标准空白：针对驿站电气过载、消防失效、应急能力薄弱、多头管理责任模糊等突出隐患，设置量化、可落地管控要求，统一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维全流程操作尺度。</w:t>
      </w:r>
    </w:p>
    <w:p w14:paraId="4E9F3258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3.实操落地，区分驿站差异化管控：划分基础型、拓展</w:t>
      </w: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型驿站两类场景，分级明确设施检查频次、人员培训学时、应急物资最低配置标准，兼顾小型简易站点与综合多功能驿站，一线运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维单位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可直接对照执行。</w:t>
      </w:r>
    </w:p>
    <w:p w14:paraId="4E9F3259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4.责任闭环，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构建全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链条管控体系：覆盖设施设备、作业人员、现场环境、应急处置、档案记录、检查考核、持续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改进全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环节，厘清安全权责，建立“隐患排查—整改复核—考核评价—持续优化” 闭环管理机制。</w:t>
      </w:r>
    </w:p>
    <w:p w14:paraId="4E9F325A" w14:textId="77777777" w:rsidR="00546887" w:rsidRDefault="00000000">
      <w:pPr>
        <w:spacing w:line="56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5.适度前瞻，鼓励数字化智能运维：鼓励运用物联网监测、数字化台账等智能化手段提升安全管控水平，适配城市精细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化治理发展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方向。</w:t>
      </w:r>
    </w:p>
    <w:p w14:paraId="4E9F325B" w14:textId="77777777" w:rsidR="00546887" w:rsidRDefault="00000000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（二）编制依据</w:t>
      </w:r>
    </w:p>
    <w:p w14:paraId="4E9F325C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1. 法律法规：《中华人民共和国安全生产法》《中华人民共和国消防法》《中华人民共和国突发事件应对法》《城市市容和环境卫生管理条例》等。</w:t>
      </w:r>
    </w:p>
    <w:p w14:paraId="4E9F325D" w14:textId="77777777" w:rsidR="00546887" w:rsidRPr="00B14094" w:rsidRDefault="00000000">
      <w:pPr>
        <w:pStyle w:val="af1"/>
        <w:tabs>
          <w:tab w:val="left" w:pos="3360"/>
          <w:tab w:val="left" w:pos="3570"/>
          <w:tab w:val="left" w:pos="3990"/>
          <w:tab w:val="left" w:pos="4200"/>
        </w:tabs>
        <w:spacing w:line="560" w:lineRule="exact"/>
        <w:ind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2. 标准引用：</w:t>
      </w:r>
    </w:p>
    <w:p w14:paraId="4E9F325E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2894  安全色和安全标志</w:t>
      </w:r>
    </w:p>
    <w:p w14:paraId="4E9F325F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13495.1  消防安全标志第1部分：标志</w:t>
      </w:r>
    </w:p>
    <w:p w14:paraId="4E9F3260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GB/T 13955  剩余电流动作保护装置安装和运行</w:t>
      </w:r>
    </w:p>
    <w:p w14:paraId="4E9F3261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GB/T 29639  生产经营单位生产安全事故应急预案编制导则</w:t>
      </w:r>
    </w:p>
    <w:p w14:paraId="4E9F3262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50016  建筑设计防火规范（2018年版）</w:t>
      </w:r>
    </w:p>
    <w:p w14:paraId="4E9F3263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50054  低压配电设计规范</w:t>
      </w:r>
    </w:p>
    <w:p w14:paraId="4E9F3264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51309  消防应急照明和疏散指示系统技术规范</w:t>
      </w:r>
    </w:p>
    <w:p w14:paraId="4E9F3265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51348  民用建筑电气设计标准</w:t>
      </w:r>
    </w:p>
    <w:p w14:paraId="4E9F3266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GB 55013  市容环卫工程项目规范</w:t>
      </w:r>
    </w:p>
    <w:p w14:paraId="4E9F3267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55036  消防设施通用规范</w:t>
      </w:r>
    </w:p>
    <w:p w14:paraId="4E9F3268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GB 55037  建筑防火通用规范</w:t>
      </w:r>
    </w:p>
    <w:p w14:paraId="4E9F3269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DB33/T 2355  城管驿站建设与管理规范</w:t>
      </w:r>
    </w:p>
    <w:p w14:paraId="4E9F326A" w14:textId="77777777" w:rsidR="00546887" w:rsidRDefault="00000000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（三）主要编制内容说明</w:t>
      </w:r>
    </w:p>
    <w:p w14:paraId="4E9F326B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本标准规定了城市管理驿站安全管理的总体基本要求、设施设备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维、人员及作业安全管理、现场环境安全管理、应急处置、运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维记录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与档案管理、检查与考核、评价与改进等内容。</w:t>
      </w:r>
    </w:p>
    <w:p w14:paraId="4E9F326C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标准适用于各类城市管理驿站的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维、监督检查与规范管理，城市红色驿站、工会驿站等同类公共服务驿站的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安全运维可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参照执行。</w:t>
      </w:r>
    </w:p>
    <w:p w14:paraId="4E9F326D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本标准主体共11章和1个资料性附录，体系完整、边界清晰、重点突出。</w:t>
      </w:r>
    </w:p>
    <w:p w14:paraId="4E9F326E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/>
          <w:sz w:val="32"/>
          <w:szCs w:val="32"/>
        </w:rPr>
        <w:t>主要试验分析、技术论证与效果</w:t>
      </w:r>
    </w:p>
    <w:p w14:paraId="4E9F326F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1.实地调研论证：编制组全覆盖嘉兴市不同规模、功能类型驿站开展现场风险摸排，梳理电气、消防、公共卫生、人员及作业、应急、治安六大类安全风险和高频隐患，所有标准条款均对应一线真实运营痛点制定。</w:t>
      </w:r>
    </w:p>
    <w:p w14:paraId="4E9F3270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2.行业专家技术论证：联合应急、消防、市政环卫、安全咨询专家对设备设施、消防用电、人员管理、作业安全、现场环境、应急救援等关键内容专项论证，符合国家强制标准底线。</w:t>
      </w:r>
    </w:p>
    <w:p w14:paraId="4E9F3271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3.试点运行验证：本标准体系在嘉兴“温暖嘉”驿站试</w:t>
      </w: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点应用5个月以来，站点隐患整改率提升25%，未发生电气、消防类安全事件，运维抢修成本显著下降，实操性、风险防控效果得到实践验证。</w:t>
      </w:r>
    </w:p>
    <w:p w14:paraId="4E9F3272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4.行业推广价值：本标准作为国内首部城市管理驿站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维专项团体标准，可为全省乃至全国城管、环卫系统驿站提供统一管理依据，具备广泛复制推广价值。</w:t>
      </w:r>
    </w:p>
    <w:p w14:paraId="4E9F3273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四、与国际、国外有关法律法规和标准水平的对比分析</w:t>
      </w:r>
    </w:p>
    <w:p w14:paraId="4E9F3274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经检索，目前国际、国外未形成统一的、具有普遍约束力的城市管理驿站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维的国际标准</w:t>
      </w:r>
      <w:r w:rsidRPr="00B14094">
        <w:rPr>
          <w:rFonts w:ascii="Courier New" w:eastAsia="仿宋_GB2312" w:hAnsi="Courier New" w:cs="Courier New"/>
          <w:sz w:val="32"/>
          <w:szCs w:val="32"/>
        </w:rPr>
        <w:t>‌</w:t>
      </w:r>
      <w:r w:rsidRPr="00B1409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9F3275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五、与有关现行法律、法规和其他相关标准的关系</w:t>
      </w:r>
    </w:p>
    <w:p w14:paraId="4E9F3276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1.本标准全部条款严格恪守《安全生产法》《消防法》等法律法规强制性条款，不存在降低安全底线、抵触冲突内容；</w:t>
      </w:r>
    </w:p>
    <w:p w14:paraId="4E9F3277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2.电气、防火、环卫相关要求均等同或严于 GB 50016、GB 55036 等国家强制性工程规范；</w:t>
      </w:r>
    </w:p>
    <w:p w14:paraId="4E9F3278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3.与DB33/T 2355等现有驿站标准形成互补：现有标准侧重规划、建设、基础便民服务，本标准聚焦建成后长期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维，构建“建设规范+安全运维”完整标准体系，无重复、矛盾条款。</w:t>
      </w:r>
    </w:p>
    <w:p w14:paraId="4E9F3279" w14:textId="77777777" w:rsidR="00546887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六、重大分歧意见的处理过程、处理意见及其依据</w:t>
      </w:r>
    </w:p>
    <w:p w14:paraId="4E9F327A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无重大分歧意见。</w:t>
      </w:r>
    </w:p>
    <w:p w14:paraId="4E9F327B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七、作为强制性标准或推荐性标准的建议及理由</w:t>
      </w:r>
    </w:p>
    <w:p w14:paraId="4E9F327C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建议本标准为推荐性团体标准。</w:t>
      </w:r>
    </w:p>
    <w:p w14:paraId="4E9F327D" w14:textId="77777777" w:rsidR="00546887" w:rsidRDefault="00000000">
      <w:pPr>
        <w:spacing w:line="560" w:lineRule="exact"/>
        <w:ind w:firstLineChars="200" w:firstLine="643"/>
        <w:rPr>
          <w:rFonts w:ascii="CESI仿宋-GB2312" w:eastAsia="CESI仿宋-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b/>
          <w:bCs/>
          <w:sz w:val="32"/>
          <w:szCs w:val="32"/>
        </w:rPr>
        <w:t>理由：</w:t>
      </w: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本标准由浙江省安全生产协会发布，适用各地城</w:t>
      </w: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管、环卫市场化运营单位；文本仅规定安全管理基础底线，各地可结合本地驿站规模、财政条件细化实施细则，采用推荐性更利于行业自愿分步推广落地。</w:t>
      </w:r>
    </w:p>
    <w:p w14:paraId="4E9F327E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>
        <w:rPr>
          <w:rFonts w:ascii="黑体" w:eastAsia="黑体" w:hAnsi="黑体"/>
          <w:sz w:val="32"/>
          <w:szCs w:val="32"/>
        </w:rPr>
        <w:t xml:space="preserve">贯彻标准的要求和措施建议 </w:t>
      </w:r>
    </w:p>
    <w:p w14:paraId="4E9F327F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标准发布后，适用于各类城市管理驿站的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安全运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维、监督与管理工作，将以禾城</w:t>
      </w:r>
      <w:proofErr w:type="gramStart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驿</w:t>
      </w:r>
      <w:proofErr w:type="gramEnd"/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·温暖嘉为全省标准化示范点位，组织各地行业单位实地观摩学习。建议各地应急、城管、环卫部门将本标准落实情况纳入驿站日常安全监督检查，持续推动城市驿站安全管理标准化、规范化、长效化。</w:t>
      </w:r>
    </w:p>
    <w:p w14:paraId="4E9F3280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</w:t>
      </w:r>
      <w:r>
        <w:rPr>
          <w:rFonts w:ascii="黑体" w:eastAsia="黑体" w:hAnsi="黑体"/>
          <w:sz w:val="32"/>
          <w:szCs w:val="32"/>
        </w:rPr>
        <w:t>涉及专利的有关说明</w:t>
      </w:r>
    </w:p>
    <w:p w14:paraId="4E9F3281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本标准不涉及任何专利内容。</w:t>
      </w:r>
    </w:p>
    <w:p w14:paraId="4E9F3282" w14:textId="77777777" w:rsidR="00546887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>
        <w:rPr>
          <w:rFonts w:ascii="黑体" w:eastAsia="黑体" w:hAnsi="黑体"/>
          <w:sz w:val="32"/>
          <w:szCs w:val="32"/>
        </w:rPr>
        <w:t xml:space="preserve">其他应予以说明的事项 </w:t>
      </w:r>
    </w:p>
    <w:p w14:paraId="4E9F3283" w14:textId="77777777" w:rsidR="00546887" w:rsidRPr="00B14094" w:rsidRDefault="00000000">
      <w:pPr>
        <w:spacing w:line="560" w:lineRule="exact"/>
        <w:ind w:firstLineChars="200" w:firstLine="640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14094">
        <w:rPr>
          <w:rFonts w:ascii="仿宋_GB2312" w:eastAsia="仿宋_GB2312" w:hAnsi="CESI仿宋-GB2312" w:cs="CESI仿宋-GB2312" w:hint="eastAsia"/>
          <w:sz w:val="32"/>
          <w:szCs w:val="32"/>
        </w:rPr>
        <w:t>无。</w:t>
      </w:r>
    </w:p>
    <w:p w14:paraId="4E9F3284" w14:textId="77777777" w:rsidR="00546887" w:rsidRDefault="00546887">
      <w:pPr>
        <w:spacing w:line="560" w:lineRule="exact"/>
        <w:rPr>
          <w:rFonts w:ascii="CESI仿宋-GB2312" w:eastAsia="CESI仿宋-GB2312" w:hAnsi="CESI仿宋-GB2312" w:cs="CESI仿宋-GB2312" w:hint="eastAsia"/>
        </w:rPr>
      </w:pPr>
    </w:p>
    <w:sectPr w:rsidR="0054688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831" w14:textId="77777777" w:rsidR="009D4EFD" w:rsidRDefault="009D4EFD">
      <w:pPr>
        <w:rPr>
          <w:rFonts w:hint="eastAsia"/>
        </w:rPr>
      </w:pPr>
      <w:r>
        <w:separator/>
      </w:r>
    </w:p>
  </w:endnote>
  <w:endnote w:type="continuationSeparator" w:id="0">
    <w:p w14:paraId="17366A29" w14:textId="77777777" w:rsidR="009D4EFD" w:rsidRDefault="009D4E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13D42DF-C018-4CCA-8C3D-8360F0C61E7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F951A39-3C50-47F9-803C-1FD6A3256FC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F7737CA6-1EF6-43E3-B70A-D64A0B5F75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C0B3700-3B78-4B50-8B3B-E6AD412801A5}"/>
    <w:embedBold r:id="rId5" w:subsetted="1" w:fontKey="{0F9E888E-A7E8-4942-BF55-E4ED39C3E09E}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3285" w14:textId="77777777" w:rsidR="00546887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F3286" wp14:editId="4E9F32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F3288" w14:textId="77777777" w:rsidR="00546887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1A6FC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45F2" w14:textId="77777777" w:rsidR="009D4EFD" w:rsidRDefault="009D4EFD">
      <w:pPr>
        <w:rPr>
          <w:rFonts w:hint="eastAsia"/>
        </w:rPr>
      </w:pPr>
      <w:r>
        <w:separator/>
      </w:r>
    </w:p>
  </w:footnote>
  <w:footnote w:type="continuationSeparator" w:id="0">
    <w:p w14:paraId="23E82411" w14:textId="77777777" w:rsidR="009D4EFD" w:rsidRDefault="009D4E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B"/>
    <w:rsid w:val="00097644"/>
    <w:rsid w:val="001F73C1"/>
    <w:rsid w:val="00277905"/>
    <w:rsid w:val="0039304E"/>
    <w:rsid w:val="0041125B"/>
    <w:rsid w:val="00481283"/>
    <w:rsid w:val="004B035D"/>
    <w:rsid w:val="004D4E83"/>
    <w:rsid w:val="00546887"/>
    <w:rsid w:val="00553BE2"/>
    <w:rsid w:val="00613EB1"/>
    <w:rsid w:val="007928D9"/>
    <w:rsid w:val="00817F1B"/>
    <w:rsid w:val="00951538"/>
    <w:rsid w:val="009D4EFD"/>
    <w:rsid w:val="00A53C62"/>
    <w:rsid w:val="00A75048"/>
    <w:rsid w:val="00A95719"/>
    <w:rsid w:val="00B14094"/>
    <w:rsid w:val="00B82F08"/>
    <w:rsid w:val="00C00C51"/>
    <w:rsid w:val="00CC2D84"/>
    <w:rsid w:val="00D15ED8"/>
    <w:rsid w:val="00D74EA1"/>
    <w:rsid w:val="00DC46BE"/>
    <w:rsid w:val="00E57A83"/>
    <w:rsid w:val="00E83B16"/>
    <w:rsid w:val="00EC49E5"/>
    <w:rsid w:val="00FB0FE2"/>
    <w:rsid w:val="013E4434"/>
    <w:rsid w:val="04501303"/>
    <w:rsid w:val="0AA230F4"/>
    <w:rsid w:val="0C48096B"/>
    <w:rsid w:val="0CC003F3"/>
    <w:rsid w:val="0F421593"/>
    <w:rsid w:val="10944070"/>
    <w:rsid w:val="175E7186"/>
    <w:rsid w:val="188B5D59"/>
    <w:rsid w:val="1C167AAF"/>
    <w:rsid w:val="1C961170"/>
    <w:rsid w:val="20B23F08"/>
    <w:rsid w:val="258C1362"/>
    <w:rsid w:val="2CA70830"/>
    <w:rsid w:val="2CB216AE"/>
    <w:rsid w:val="2D9B2143"/>
    <w:rsid w:val="2F391C13"/>
    <w:rsid w:val="37887BDC"/>
    <w:rsid w:val="39810D86"/>
    <w:rsid w:val="3AC70A1B"/>
    <w:rsid w:val="3BB75988"/>
    <w:rsid w:val="3D2C58AB"/>
    <w:rsid w:val="3FE152A0"/>
    <w:rsid w:val="419453CF"/>
    <w:rsid w:val="42671AEE"/>
    <w:rsid w:val="430815C5"/>
    <w:rsid w:val="459C2AA4"/>
    <w:rsid w:val="46F85E73"/>
    <w:rsid w:val="48917B4E"/>
    <w:rsid w:val="4ABF5418"/>
    <w:rsid w:val="4ED67027"/>
    <w:rsid w:val="4FD25A40"/>
    <w:rsid w:val="502F4C40"/>
    <w:rsid w:val="529B6283"/>
    <w:rsid w:val="563D1091"/>
    <w:rsid w:val="56D37A63"/>
    <w:rsid w:val="58DA5965"/>
    <w:rsid w:val="59883613"/>
    <w:rsid w:val="5A6E1669"/>
    <w:rsid w:val="5AB67D0C"/>
    <w:rsid w:val="5BEF690A"/>
    <w:rsid w:val="5D414205"/>
    <w:rsid w:val="5FDE2FFE"/>
    <w:rsid w:val="632366D8"/>
    <w:rsid w:val="66173E6E"/>
    <w:rsid w:val="66303069"/>
    <w:rsid w:val="69756720"/>
    <w:rsid w:val="6C1825D5"/>
    <w:rsid w:val="6C81017A"/>
    <w:rsid w:val="74850A24"/>
    <w:rsid w:val="74E8308A"/>
    <w:rsid w:val="75D532E5"/>
    <w:rsid w:val="79232871"/>
    <w:rsid w:val="796B5873"/>
    <w:rsid w:val="79725C96"/>
    <w:rsid w:val="7A950625"/>
    <w:rsid w:val="7B18614D"/>
    <w:rsid w:val="7D3FB233"/>
    <w:rsid w:val="7D4F1BCF"/>
    <w:rsid w:val="DF7FC602"/>
    <w:rsid w:val="DF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F322C"/>
  <w15:docId w15:val="{62BAF0D0-7541-49A1-AEC0-EBC40FAF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f1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ChunSheng Zhou</dc:creator>
  <cp:lastModifiedBy>ChunSheng Zhou</cp:lastModifiedBy>
  <cp:revision>18</cp:revision>
  <dcterms:created xsi:type="dcterms:W3CDTF">2024-04-24T01:19:00Z</dcterms:created>
  <dcterms:modified xsi:type="dcterms:W3CDTF">2026-07-24T07:29:00Z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eyJoZGlkIjoiNmJmYjVhZjcyMzE0ZmI5MjJmYjQyNzZlNzgyZmM2M2IiLCJ1c2VySWQiOiIxMTQ2ODY3OTQ0In0=</vt:lpwstr>
  </property>
  <property fmtid="{D5CDD505-2E9C-101B-9397-08002B2CF9AE}" pid="3" name="KSOProductBuildVer">
    <vt:lpwstr>2052-12.8.2.1118</vt:lpwstr>
  </property>
  <property fmtid="{D5CDD505-2E9C-101B-9397-08002B2CF9AE}" pid="4" name="ICV">
    <vt:lpwstr>674292E66A7F418782E840903D3D6994_13</vt:lpwstr>
  </property>
</Properties>
</file>